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R4-2301743</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9.27.</w:t>
      </w:r>
      <w:r>
        <w:rPr>
          <w:rFonts w:hint="eastAsia" w:ascii="Arial" w:hAnsi="Arial" w:cs="Arial"/>
          <w:b/>
          <w:sz w:val="24"/>
          <w:szCs w:val="24"/>
          <w:highlight w:val="none"/>
          <w:lang w:val="en-US" w:eastAsia="zh-CN"/>
        </w:rPr>
        <w:t>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RRM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further views on RRM requirement impacts from RAN4 perspective based on the latest RAN1/RAN2 agreement reached in Oct meeting.</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RAN1 agreement in RAN1#110-bis-e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42" w:type="dxa"/>
          </w:tcPr>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eastAsia="等线"/>
              </w:rPr>
              <w:t>The following information can be used to characterize the physical beam(s) supported by NCR-Fwd for access link:</w:t>
            </w:r>
          </w:p>
          <w:p>
            <w:pPr>
              <w:pStyle w:val="33"/>
              <w:numPr>
                <w:ilvl w:val="0"/>
                <w:numId w:val="2"/>
              </w:numPr>
              <w:rPr>
                <w:rFonts w:eastAsia="等线"/>
                <w:lang w:eastAsia="zh-CN"/>
              </w:rPr>
            </w:pPr>
            <w:r>
              <w:rPr>
                <w:lang w:eastAsia="zh-CN"/>
              </w:rPr>
              <w:t>Number of beams supported for access link</w:t>
            </w:r>
          </w:p>
          <w:p>
            <w:pPr>
              <w:pStyle w:val="33"/>
              <w:numPr>
                <w:ilvl w:val="1"/>
                <w:numId w:val="2"/>
              </w:numPr>
              <w:rPr>
                <w:lang w:eastAsia="zh-CN"/>
              </w:rPr>
            </w:pPr>
            <w:r>
              <w:rPr>
                <w:lang w:eastAsia="zh-CN"/>
              </w:rPr>
              <w:t>FFS: How to define the detailed value (e.g., per beam type)</w:t>
            </w:r>
          </w:p>
          <w:p>
            <w:pPr>
              <w:pStyle w:val="33"/>
              <w:numPr>
                <w:ilvl w:val="1"/>
                <w:numId w:val="2"/>
              </w:numPr>
              <w:rPr>
                <w:lang w:eastAsia="zh-CN"/>
              </w:rPr>
            </w:pPr>
            <w:r>
              <w:rPr>
                <w:lang w:eastAsia="zh-CN"/>
              </w:rPr>
              <w:t>FFS: Whether the number of beam can be derived by beam layout</w:t>
            </w:r>
          </w:p>
          <w:p>
            <w:pPr>
              <w:pStyle w:val="33"/>
              <w:numPr>
                <w:ilvl w:val="0"/>
                <w:numId w:val="2"/>
              </w:numPr>
              <w:rPr>
                <w:rFonts w:eastAsia="等线"/>
                <w:lang w:eastAsia="zh-CN"/>
              </w:rPr>
            </w:pPr>
            <w:r>
              <w:rPr>
                <w:lang w:eastAsia="zh-CN"/>
              </w:rPr>
              <w:t>Spatial relationship between different beams</w:t>
            </w:r>
          </w:p>
          <w:p>
            <w:pPr>
              <w:pStyle w:val="33"/>
              <w:numPr>
                <w:ilvl w:val="0"/>
                <w:numId w:val="2"/>
              </w:numPr>
              <w:rPr>
                <w:rFonts w:eastAsia="等线"/>
                <w:lang w:eastAsia="zh-CN"/>
              </w:rPr>
            </w:pPr>
            <w:r>
              <w:rPr>
                <w:lang w:eastAsia="zh-CN"/>
              </w:rPr>
              <w:t>FFS: Beam types defined by the beam width (e.g. two types as wide beam and narrow beam type)</w:t>
            </w:r>
          </w:p>
          <w:p>
            <w:pPr>
              <w:pStyle w:val="33"/>
              <w:numPr>
                <w:ilvl w:val="0"/>
                <w:numId w:val="2"/>
              </w:numPr>
              <w:rPr>
                <w:lang w:eastAsia="zh-CN"/>
              </w:rPr>
            </w:pPr>
            <w:r>
              <w:rPr>
                <w:lang w:eastAsia="zh-CN"/>
              </w:rPr>
              <w:t>FFS: Beam direction defined by the boresight of beam</w:t>
            </w:r>
          </w:p>
          <w:p>
            <w:pPr>
              <w:pStyle w:val="33"/>
              <w:numPr>
                <w:ilvl w:val="0"/>
                <w:numId w:val="2"/>
              </w:numPr>
              <w:rPr>
                <w:rFonts w:eastAsia="等线"/>
                <w:lang w:eastAsia="zh-CN"/>
              </w:rPr>
            </w:pPr>
            <w:r>
              <w:rPr>
                <w:lang w:eastAsia="zh-CN"/>
              </w:rPr>
              <w:t>FFS: Whether/How to deliver this information to gNB</w:t>
            </w:r>
          </w:p>
          <w:p>
            <w:pPr>
              <w:pStyle w:val="33"/>
              <w:numPr>
                <w:ilvl w:val="0"/>
                <w:numId w:val="2"/>
              </w:numPr>
              <w:rPr>
                <w:rFonts w:eastAsia="等线"/>
                <w:lang w:eastAsia="zh-CN"/>
              </w:rPr>
            </w:pPr>
            <w:r>
              <w:rPr>
                <w:lang w:eastAsia="zh-CN"/>
              </w:rPr>
              <w:t>FFS: Coverage area for each beam type</w:t>
            </w:r>
          </w:p>
          <w:p>
            <w:pPr>
              <w:pStyle w:val="33"/>
              <w:numPr>
                <w:ilvl w:val="0"/>
                <w:numId w:val="2"/>
              </w:numPr>
              <w:rPr>
                <w:rFonts w:eastAsia="等线"/>
                <w:lang w:eastAsia="zh-CN"/>
              </w:rPr>
            </w:pPr>
            <w:r>
              <w:rPr>
                <w:lang w:eastAsia="zh-CN"/>
              </w:rPr>
              <w:t xml:space="preserve">FFS: Beam ID (via explicit or implicit means) </w:t>
            </w: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rPr>
              <w:t>The following methods are supported for access link beam indication:</w:t>
            </w:r>
          </w:p>
          <w:p>
            <w:pPr>
              <w:pStyle w:val="33"/>
              <w:numPr>
                <w:ilvl w:val="0"/>
                <w:numId w:val="3"/>
              </w:numPr>
              <w:rPr>
                <w:lang w:eastAsia="zh-CN"/>
              </w:rPr>
            </w:pPr>
            <w:r>
              <w:rPr>
                <w:lang w:eastAsia="zh-CN"/>
              </w:rPr>
              <w:t>Single beam index per indication is supported to indicate one beam.</w:t>
            </w:r>
          </w:p>
          <w:p>
            <w:pPr>
              <w:pStyle w:val="33"/>
              <w:numPr>
                <w:ilvl w:val="0"/>
                <w:numId w:val="3"/>
              </w:numPr>
              <w:rPr>
                <w:lang w:eastAsia="zh-CN"/>
              </w:rPr>
            </w:pPr>
            <w:r>
              <w:rPr>
                <w:lang w:eastAsia="zh-CN"/>
              </w:rPr>
              <w:t>The indication of multiple beams in one indication is supported</w:t>
            </w:r>
          </w:p>
          <w:p>
            <w:pPr>
              <w:pStyle w:val="33"/>
              <w:numPr>
                <w:ilvl w:val="1"/>
                <w:numId w:val="3"/>
              </w:numPr>
              <w:rPr>
                <w:lang w:eastAsia="zh-CN"/>
              </w:rPr>
            </w:pPr>
            <w:r>
              <w:rPr>
                <w:lang w:eastAsia="zh-CN"/>
              </w:rPr>
              <w:t>Note: The multiple beams are applied in TDMed over same frequency resource</w:t>
            </w:r>
          </w:p>
          <w:p>
            <w:pPr>
              <w:rPr>
                <w:rFonts w:ascii="Times New Roman" w:hAnsi="Times New Roman"/>
                <w:lang w:eastAsia="zh-CN"/>
              </w:rPr>
            </w:pPr>
          </w:p>
          <w:p>
            <w:pPr>
              <w:rPr>
                <w:bCs/>
                <w:iCs/>
                <w:highlight w:val="green"/>
              </w:rPr>
            </w:pPr>
            <w:r>
              <w:rPr>
                <w:highlight w:val="green"/>
              </w:rPr>
              <w:t>Agreement</w:t>
            </w:r>
          </w:p>
          <w:p>
            <w:pPr>
              <w:rPr>
                <w:rFonts w:eastAsia="宋体" w:cs="Times"/>
                <w:lang w:val="en-US" w:eastAsia="zh-CN"/>
              </w:rPr>
            </w:pPr>
            <w:r>
              <w:rPr>
                <w:rFonts w:eastAsia="宋体" w:cs="Times"/>
                <w:lang w:val="en-US" w:eastAsia="zh-CN"/>
              </w:rPr>
              <w:t>Confirm the WA that in access link, a DL beam and a UL beam which are correspondent with each other have the same beam index.</w:t>
            </w:r>
          </w:p>
          <w:p>
            <w:pPr>
              <w:rPr>
                <w:rFonts w:eastAsia="宋体" w:cs="Times"/>
                <w:sz w:val="24"/>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宋体" w:cs="Times"/>
                <w:color w:val="493118"/>
                <w:sz w:val="18"/>
                <w:szCs w:val="18"/>
                <w:lang w:val="en-US" w:eastAsia="zh-CN"/>
              </w:rPr>
            </w:pPr>
            <w:r>
              <w:rPr>
                <w:rFonts w:eastAsia="宋体" w:cs="Times"/>
                <w:color w:val="493118"/>
                <w:lang w:val="en-US" w:eastAsia="zh-CN"/>
              </w:rPr>
              <w:t>The following aspects should be NCR capability:</w:t>
            </w:r>
          </w:p>
          <w:p>
            <w:pPr>
              <w:pStyle w:val="33"/>
              <w:numPr>
                <w:ilvl w:val="0"/>
                <w:numId w:val="4"/>
              </w:numPr>
              <w:rPr>
                <w:lang w:eastAsia="zh-CN"/>
              </w:rPr>
            </w:pPr>
            <w:r>
              <w:rPr>
                <w:lang w:eastAsia="zh-CN"/>
              </w:rPr>
              <w:t>Simultaneous UL transmission of C-link and backhaul link</w:t>
            </w:r>
          </w:p>
          <w:p>
            <w:pPr>
              <w:pStyle w:val="33"/>
              <w:numPr>
                <w:ilvl w:val="0"/>
                <w:numId w:val="4"/>
              </w:numPr>
              <w:rPr>
                <w:lang w:eastAsia="zh-CN"/>
              </w:rPr>
            </w:pPr>
            <w:r>
              <w:rPr>
                <w:lang w:eastAsia="zh-CN"/>
              </w:rPr>
              <w:t>Adaptive beam for C-link/backhaul-link</w:t>
            </w:r>
          </w:p>
          <w:p>
            <w:pPr>
              <w:pStyle w:val="33"/>
              <w:numPr>
                <w:ilvl w:val="0"/>
                <w:numId w:val="4"/>
              </w:numPr>
              <w:rPr>
                <w:lang w:eastAsia="zh-CN"/>
              </w:rPr>
            </w:pPr>
            <w:r>
              <w:rPr>
                <w:lang w:eastAsia="zh-CN"/>
              </w:rPr>
              <w:t>Note-1: Fixed beam for C-link/backhaul link is default capability</w:t>
            </w:r>
          </w:p>
          <w:p>
            <w:pPr>
              <w:pStyle w:val="33"/>
              <w:numPr>
                <w:ilvl w:val="0"/>
                <w:numId w:val="4"/>
              </w:numPr>
              <w:rPr>
                <w:lang w:eastAsia="zh-CN"/>
              </w:rPr>
            </w:pPr>
            <w:r>
              <w:rPr>
                <w:lang w:eastAsia="zh-CN"/>
              </w:rPr>
              <w:t>Note-2: TDMed UL transmission of C-link and backhaul link is default capability.</w:t>
            </w:r>
          </w:p>
          <w:p>
            <w:pPr>
              <w:pStyle w:val="33"/>
              <w:numPr>
                <w:ilvl w:val="0"/>
                <w:numId w:val="4"/>
              </w:numPr>
              <w:rPr>
                <w:lang w:eastAsia="zh-CN"/>
              </w:rPr>
            </w:pPr>
            <w:r>
              <w:rPr>
                <w:lang w:eastAsia="zh-CN"/>
              </w:rPr>
              <w:t>FFS: How to define the capability for adaptive beam for C-link/backhaul-link</w:t>
            </w:r>
          </w:p>
          <w:p>
            <w:pPr>
              <w:rPr>
                <w:rFonts w:eastAsia="宋体" w:cs="Times"/>
                <w:color w:val="493118"/>
                <w:u w:val="single"/>
                <w:lang w:val="en-US" w:eastAsia="zh-CN"/>
              </w:rPr>
            </w:pPr>
            <w:r>
              <w:rPr>
                <w:rFonts w:eastAsia="宋体" w:cs="Times"/>
                <w:color w:val="493118"/>
                <w:u w:val="single"/>
                <w:lang w:val="en-US" w:eastAsia="zh-CN"/>
              </w:rPr>
              <w:t>Conclusion</w:t>
            </w:r>
          </w:p>
          <w:p>
            <w:pPr>
              <w:rPr>
                <w:rFonts w:eastAsia="宋体" w:cs="Times"/>
                <w:sz w:val="24"/>
                <w:lang w:val="en-US" w:eastAsia="zh-CN"/>
              </w:rPr>
            </w:pPr>
            <w:r>
              <w:rPr>
                <w:rFonts w:eastAsia="宋体" w:cs="Times"/>
                <w:lang w:val="en-US" w:eastAsia="zh-CN"/>
              </w:rPr>
              <w:t>An NCR is not expected to perform forwarding in “OFF” state.</w:t>
            </w:r>
          </w:p>
          <w:p>
            <w:pPr>
              <w:rPr>
                <w:rFonts w:eastAsia="宋体" w:cs="Times"/>
                <w:bCs/>
                <w:color w:val="493118"/>
                <w:shd w:val="clear" w:color="auto" w:fill="FFFF00"/>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Malgun Gothic" w:cs="Times"/>
                <w:sz w:val="18"/>
                <w:szCs w:val="18"/>
                <w:lang w:val="en-US" w:eastAsia="zh-CN"/>
              </w:rPr>
            </w:pPr>
            <w:r>
              <w:rPr>
                <w:rFonts w:eastAsia="宋体" w:cs="Times"/>
                <w:shd w:val="clear" w:color="auto" w:fill="FFFFFF"/>
                <w:lang w:val="en-US" w:eastAsia="zh-CN"/>
              </w:rPr>
              <w:t xml:space="preserve">For the flexible symbol based on the semi-static configuration (e.g., TDD-UL-DL-ConfigCommon, TDD-UL-DL-ConfigDedicated), </w:t>
            </w:r>
            <w:r>
              <w:rPr>
                <w:rFonts w:eastAsia="宋体" w:cs="Times"/>
                <w:lang w:val="en-US" w:eastAsia="zh-CN"/>
              </w:rPr>
              <w:t>the default behavior of the NCR-Fwd is expected to be OFF or not forwarding over these symbols</w:t>
            </w:r>
          </w:p>
          <w:p>
            <w:pPr>
              <w:pStyle w:val="33"/>
              <w:numPr>
                <w:ilvl w:val="0"/>
                <w:numId w:val="5"/>
              </w:numPr>
              <w:rPr>
                <w:lang w:eastAsia="zh-CN"/>
              </w:rPr>
            </w:pPr>
            <w:r>
              <w:rPr>
                <w:lang w:eastAsia="zh-CN"/>
              </w:rPr>
              <w:t>FFS: The behavior over these symbol if dynamic DL/UL operation is supported by NCR-MT and/or NCR-Fwd.</w:t>
            </w:r>
          </w:p>
          <w:p>
            <w:pPr>
              <w:rPr>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iCs/>
                <w:szCs w:val="20"/>
              </w:rPr>
            </w:pPr>
            <w:r>
              <w:rPr>
                <w:rFonts w:ascii="Times New Roman" w:hAnsi="Times New Roman"/>
                <w:iCs/>
                <w:szCs w:val="20"/>
              </w:rPr>
              <w:t>Following parameters should be supported to define the time resource:</w:t>
            </w:r>
          </w:p>
          <w:p>
            <w:pPr>
              <w:pStyle w:val="33"/>
              <w:numPr>
                <w:ilvl w:val="0"/>
                <w:numId w:val="5"/>
              </w:numPr>
            </w:pPr>
            <w:r>
              <w:t>For a periodic and/or semi-persistent configured time resource, starting time, duration per beam(s) and periodicity is needed.</w:t>
            </w:r>
          </w:p>
          <w:p>
            <w:pPr>
              <w:pStyle w:val="33"/>
              <w:numPr>
                <w:ilvl w:val="0"/>
                <w:numId w:val="5"/>
              </w:numPr>
            </w:pPr>
            <w:r>
              <w:t xml:space="preserve">For aperiodic indication of time resource, starting time and duration per beam(s) is needed.  </w:t>
            </w:r>
          </w:p>
          <w:p>
            <w:pPr>
              <w:pStyle w:val="33"/>
              <w:numPr>
                <w:ilvl w:val="0"/>
                <w:numId w:val="5"/>
              </w:numPr>
            </w:pPr>
            <w:r>
              <w:t>FFS: The SCS for starting time, duration, and periodicity</w:t>
            </w:r>
          </w:p>
          <w:p>
            <w:pPr>
              <w:pStyle w:val="33"/>
              <w:numPr>
                <w:ilvl w:val="0"/>
                <w:numId w:val="5"/>
              </w:numPr>
            </w:pPr>
            <w:r>
              <w:t>FFS: How to define the duration, e.g., via the length of time resource or resource index(es)</w:t>
            </w:r>
          </w:p>
          <w:p>
            <w:pPr>
              <w:pStyle w:val="33"/>
              <w:numPr>
                <w:ilvl w:val="0"/>
                <w:numId w:val="5"/>
              </w:numPr>
            </w:pPr>
            <w:r>
              <w:t>FFS: Whether indication of starting time can be implicit (e.g., the first slot after the time to apply the received beam indication and the first OFDM symbol in the slot)</w:t>
            </w: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eastAsia="等线"/>
                <w:szCs w:val="20"/>
              </w:rPr>
            </w:pPr>
            <w:r>
              <w:rPr>
                <w:rFonts w:ascii="Times New Roman" w:hAnsi="Times New Roman" w:eastAsia="等线"/>
                <w:szCs w:val="20"/>
              </w:rPr>
              <w:t>If adaptive beams are adopted for C-link and backhaul link, new signaling is supported to indicate a beam(s) used for backhaul link from the set of beams for C-link.</w:t>
            </w:r>
          </w:p>
          <w:p>
            <w:pPr>
              <w:pStyle w:val="33"/>
              <w:numPr>
                <w:ilvl w:val="0"/>
                <w:numId w:val="6"/>
              </w:numPr>
              <w:rPr>
                <w:rFonts w:eastAsia="PMingLiU"/>
              </w:rPr>
            </w:pPr>
            <w:r>
              <w:t>Predefined rule is used to define the beam in case there is no indication via the new signalling</w:t>
            </w:r>
          </w:p>
          <w:p>
            <w:pPr>
              <w:pStyle w:val="33"/>
              <w:numPr>
                <w:ilvl w:val="1"/>
                <w:numId w:val="6"/>
              </w:numPr>
              <w:rPr>
                <w:rFonts w:eastAsia="PMingLiU"/>
              </w:rPr>
            </w:pPr>
            <w:r>
              <w:t>FFS: Details of the predefined rule</w:t>
            </w:r>
          </w:p>
          <w:p>
            <w:pPr>
              <w:pStyle w:val="33"/>
              <w:numPr>
                <w:ilvl w:val="1"/>
                <w:numId w:val="6"/>
              </w:numPr>
              <w:rPr>
                <w:rFonts w:eastAsia="PMingLiU"/>
              </w:rPr>
            </w:pPr>
            <w:r>
              <w:t>FFS: Application of predefined rule for other cases</w:t>
            </w:r>
          </w:p>
          <w:p>
            <w:pPr>
              <w:pStyle w:val="33"/>
              <w:numPr>
                <w:ilvl w:val="0"/>
                <w:numId w:val="6"/>
              </w:numPr>
              <w:rPr>
                <w:rFonts w:eastAsia="PMingLiU"/>
              </w:rPr>
            </w:pPr>
            <w:r>
              <w:t>Note: The beam(s) used for backhaul link should be from the RRC-configured list of beams for C-link.</w:t>
            </w:r>
          </w:p>
          <w:p>
            <w:pPr>
              <w:pStyle w:val="33"/>
              <w:numPr>
                <w:ilvl w:val="0"/>
                <w:numId w:val="6"/>
              </w:numPr>
              <w:rPr>
                <w:rFonts w:eastAsia="PMingLiU"/>
              </w:rPr>
            </w:pPr>
            <w:r>
              <w:t>The new signalling, if needed, is an optional NCR capability</w:t>
            </w:r>
          </w:p>
          <w:p>
            <w:pPr>
              <w:jc w:val="both"/>
              <w:rPr>
                <w:rFonts w:ascii="Times New Roman" w:hAnsi="Times New Roman"/>
                <w:szCs w:val="20"/>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sz w:val="18"/>
                <w:szCs w:val="18"/>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pPr>
              <w:pStyle w:val="33"/>
              <w:numPr>
                <w:ilvl w:val="0"/>
                <w:numId w:val="7"/>
              </w:numPr>
            </w:pPr>
            <w:r>
              <w:t>Alt-1: Explicit indication with dedicated field to indicate ON state</w:t>
            </w:r>
          </w:p>
          <w:p>
            <w:pPr>
              <w:pStyle w:val="33"/>
              <w:numPr>
                <w:ilvl w:val="1"/>
                <w:numId w:val="7"/>
              </w:numPr>
            </w:pPr>
            <w:r>
              <w:t>Note: At least it’s supported when the beam indication is not applicable</w:t>
            </w:r>
          </w:p>
          <w:p>
            <w:pPr>
              <w:pStyle w:val="33"/>
              <w:numPr>
                <w:ilvl w:val="0"/>
                <w:numId w:val="7"/>
              </w:numPr>
            </w:pPr>
            <w:r>
              <w:t>Alt-2: Implicit indication via the beam indication</w:t>
            </w:r>
          </w:p>
          <w:p>
            <w:pPr>
              <w:pStyle w:val="33"/>
              <w:numPr>
                <w:ilvl w:val="0"/>
                <w:numId w:val="7"/>
              </w:numPr>
            </w:pPr>
            <w:r>
              <w:t>Alt-3: Indication via the time domain resource indication (i.e., the NCR is assumed to be ON over the indicated time domain resource)</w:t>
            </w:r>
          </w:p>
          <w:p>
            <w:pPr>
              <w:pStyle w:val="33"/>
              <w:spacing w:before="60" w:line="259" w:lineRule="auto"/>
              <w:ind w:left="0"/>
              <w:rPr>
                <w:rFonts w:asciiTheme="minorBidi" w:hAnsiTheme="minorBidi" w:cstheme="minorBidi"/>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bl>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RAN2 agreement in RAN1#119-bis-e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NCR-MT supports RRC_CONNECTED and RRC_IDLE states, FFS on RRC_INACTIVE state (e.g. optional support or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rPr>
                <w:rFonts w:asciiTheme="minorBidi" w:hAnsiTheme="minorBidi" w:cstheme="minorBidi"/>
                <w:bCs/>
                <w:szCs w:val="20"/>
              </w:rPr>
            </w:pPr>
            <w:r>
              <w:rPr>
                <w:rFonts w:asciiTheme="minorBidi" w:hAnsiTheme="minorBidi" w:cstheme="minorBidi"/>
                <w:bCs/>
                <w:szCs w:val="20"/>
              </w:rPr>
              <w:t>NCR-MT supports SRB0/1/2 and DRB is optional. FFS on maximum number of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ind w:left="0" w:leftChars="0" w:firstLine="0" w:firstLineChars="0"/>
              <w:rPr>
                <w:rFonts w:asciiTheme="minorBidi" w:hAnsiTheme="minorBidi" w:cstheme="minorBidi"/>
                <w:bCs/>
                <w:szCs w:val="20"/>
              </w:rPr>
            </w:pPr>
            <w:r>
              <w:rPr>
                <w:rFonts w:asciiTheme="minorBidi" w:hAnsiTheme="minorBidi" w:cstheme="minorBidi"/>
                <w:bCs/>
                <w:szCs w:val="20"/>
              </w:rPr>
              <w:t>Agreements</w:t>
            </w:r>
          </w:p>
          <w:p>
            <w:pPr>
              <w:pStyle w:val="33"/>
              <w:spacing w:before="60"/>
              <w:ind w:left="0"/>
              <w:rPr>
                <w:rFonts w:asciiTheme="minorBidi" w:hAnsiTheme="minorBidi" w:cstheme="minorBidi"/>
                <w:bCs/>
                <w:szCs w:val="20"/>
              </w:rPr>
            </w:pPr>
            <w:r>
              <w:rPr>
                <w:rFonts w:asciiTheme="minorBidi" w:hAnsiTheme="minorBidi" w:cstheme="minorBidi"/>
                <w:bCs/>
                <w:szCs w:val="20"/>
              </w:rPr>
              <w:t>RRM functions supported by NCR-MR:</w:t>
            </w:r>
          </w:p>
          <w:p>
            <w:pPr>
              <w:pStyle w:val="33"/>
              <w:numPr>
                <w:ilvl w:val="0"/>
                <w:numId w:val="12"/>
              </w:numPr>
              <w:spacing w:before="60"/>
              <w:ind w:firstLine="856"/>
              <w:rPr>
                <w:rFonts w:eastAsia="MS Mincho" w:asciiTheme="minorBidi" w:hAnsiTheme="minorBidi" w:cstheme="minorBidi"/>
                <w:bCs/>
                <w:sz w:val="20"/>
                <w:szCs w:val="20"/>
              </w:rPr>
            </w:pPr>
            <w:r>
              <w:rPr>
                <w:rFonts w:asciiTheme="minorBidi" w:hAnsiTheme="minorBidi" w:cstheme="minorBidi"/>
                <w:bCs/>
                <w:sz w:val="20"/>
                <w:szCs w:val="20"/>
              </w:rPr>
              <w:t>Cell selection is mandatory</w:t>
            </w:r>
          </w:p>
          <w:p>
            <w:pPr>
              <w:pStyle w:val="33"/>
              <w:numPr>
                <w:ilvl w:val="0"/>
                <w:numId w:val="12"/>
              </w:numPr>
              <w:spacing w:before="60"/>
              <w:ind w:firstLine="856"/>
              <w:rPr>
                <w:rFonts w:asciiTheme="minorBidi" w:hAnsiTheme="minorBidi" w:cstheme="minorBidi"/>
                <w:bCs/>
                <w:szCs w:val="20"/>
              </w:rPr>
            </w:pPr>
            <w:r>
              <w:rPr>
                <w:rFonts w:asciiTheme="minorBidi" w:hAnsiTheme="minorBidi" w:cstheme="minorBidi"/>
                <w:bCs/>
                <w:sz w:val="20"/>
                <w:szCs w:val="20"/>
              </w:rPr>
              <w:t>Cell reselection, RLM, BFD, BFR are FFS</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20"/>
      <w:bookmarkStart w:id="3" w:name="OLE_LINK10"/>
      <w:bookmarkStart w:id="4" w:name="OLE_LINK13"/>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2.1. Cell reselection and RRM measurements for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RAN2#120 meeting agreements made on Fri online---based on offline report:</w:t>
      </w:r>
    </w:p>
    <w:p>
      <w:pPr>
        <w:numPr>
          <w:ilvl w:val="0"/>
          <w:numId w:val="13"/>
        </w:numPr>
        <w:autoSpaceDE/>
        <w:autoSpaceDN/>
        <w:adjustRightInd/>
        <w:snapToGrid/>
        <w:spacing w:before="0" w:beforeLines="-2147483648" w:after="0" w:afterLines="-2147483648" w:line="240" w:lineRule="auto"/>
        <w:ind w:left="420" w:leftChars="0" w:hanging="420" w:firstLineChars="0"/>
        <w:jc w:val="left"/>
        <w:rPr>
          <w:rFonts w:hint="eastAsia"/>
          <w:sz w:val="20"/>
          <w:highlight w:val="none"/>
          <w:lang w:val="en-US" w:eastAsia="zh-CN"/>
        </w:rPr>
      </w:pPr>
      <w:r>
        <w:rPr>
          <w:rFonts w:hint="eastAsia"/>
          <w:sz w:val="20"/>
          <w:highlight w:val="none"/>
          <w:lang w:val="en-US" w:eastAsia="zh-CN"/>
        </w:rPr>
        <w:t>NCR-MT mandatorily support cell reselection and RRM measurements in RRC_IDLE and RRC_INACTIVE.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last RAN2#120 meeting, it was agreed that NCR-MT should mandatorily support the cell reselection and RRM measurement in RRC_IDLE and RRC_INACTIVE. Per this agreement, it seems reasonable to define the corresponding RRM requirement for NCR-MT cell reselection. However when compared with the legacy IAB-MT, it should be okay not to define the corresponding requirement for NCR-MT also since the deployment scenarios are similar.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not to define the cell reselection requirement for NCR-MT in Rel-18 similar as Rel-16 IAB-MT.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Handover for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RAN2#120 meeting agreements made on Fri online---based on offline report:</w:t>
      </w:r>
    </w:p>
    <w:p>
      <w:pPr>
        <w:numPr>
          <w:ilvl w:val="0"/>
          <w:numId w:val="13"/>
        </w:numPr>
        <w:autoSpaceDE/>
        <w:autoSpaceDN/>
        <w:adjustRightInd/>
        <w:snapToGrid/>
        <w:spacing w:before="0" w:beforeLines="-2147483648" w:after="0" w:afterLines="-2147483648" w:line="240" w:lineRule="auto"/>
        <w:ind w:left="420" w:leftChars="0" w:hanging="420" w:firstLineChars="0"/>
        <w:jc w:val="left"/>
        <w:rPr>
          <w:rFonts w:hint="eastAsia"/>
          <w:sz w:val="20"/>
          <w:highlight w:val="none"/>
          <w:lang w:val="en-US" w:eastAsia="zh-CN"/>
        </w:rPr>
      </w:pPr>
      <w:r>
        <w:rPr>
          <w:rFonts w:hint="eastAsia"/>
          <w:sz w:val="20"/>
          <w:highlight w:val="none"/>
          <w:lang w:val="en-US" w:eastAsia="zh-CN"/>
        </w:rPr>
        <w:t>In Rel-18, NCR-MT does not support handover and RRM measurements in RRC_CONNECTED.</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last RAN2#120 meeting, it was agreed that NCR-MT is not supposed to support the handover the RRM measurement in RRC_CONNECTED. Per this agreement, it should be quite straight forward to draw the conclusion for NCR-MT handover requirement.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not to define the handover requirement for NCR-MT in Rel-18.</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2.3. </w:t>
      </w:r>
      <w:r>
        <w:rPr>
          <w:rFonts w:hint="default" w:ascii="Arial" w:hAnsi="Arial" w:cs="Arial"/>
          <w:sz w:val="28"/>
          <w:szCs w:val="28"/>
          <w:lang w:val="en-US" w:eastAsia="zh-CN"/>
        </w:rPr>
        <w:t>RRC Connection Mobility Control</w:t>
      </w:r>
    </w:p>
    <w:p>
      <w:pPr>
        <w:keepNext w:val="0"/>
        <w:keepLines w:val="0"/>
        <w:pageBreakBefore w:val="0"/>
        <w:widowControl w:val="0"/>
        <w:kinsoku/>
        <w:wordWrap/>
        <w:overflowPunct/>
        <w:topLinePunct w:val="0"/>
        <w:autoSpaceDE/>
        <w:autoSpaceDN/>
        <w:bidi w:val="0"/>
        <w:adjustRightInd/>
        <w:snapToGrid/>
        <w:contextualSpacing/>
        <w:textAlignment w:val="auto"/>
        <w:outlineLvl w:val="2"/>
        <w:rPr>
          <w:rFonts w:hint="eastAsia" w:ascii="Arial" w:hAnsi="Arial" w:eastAsia="宋体" w:cs="Arial"/>
          <w:sz w:val="24"/>
          <w:szCs w:val="24"/>
          <w:lang w:val="en-US" w:eastAsia="zh-CN"/>
        </w:rPr>
      </w:pPr>
      <w:r>
        <w:rPr>
          <w:rFonts w:hint="default" w:ascii="Arial" w:hAnsi="Arial" w:cs="Arial"/>
          <w:sz w:val="24"/>
          <w:szCs w:val="24"/>
          <w:lang w:val="en-US" w:eastAsia="zh-CN"/>
        </w:rPr>
        <w:t>2.3.1</w:t>
      </w:r>
      <w:r>
        <w:rPr>
          <w:rFonts w:hint="eastAsia" w:ascii="Arial" w:hAnsi="Arial" w:cs="Arial"/>
          <w:sz w:val="24"/>
          <w:szCs w:val="24"/>
          <w:lang w:val="en-US" w:eastAsia="zh-CN"/>
        </w:rPr>
        <w:t>.</w:t>
      </w:r>
      <w:r>
        <w:rPr>
          <w:rFonts w:hint="default" w:ascii="Arial" w:hAnsi="Arial" w:cs="Arial"/>
          <w:sz w:val="24"/>
          <w:szCs w:val="24"/>
        </w:rPr>
        <w:t xml:space="preserve"> RRC re-establishmen</w:t>
      </w:r>
      <w:r>
        <w:rPr>
          <w:rFonts w:hint="eastAsia" w:ascii="Arial" w:hAnsi="Arial" w:cs="Arial"/>
          <w:sz w:val="24"/>
          <w:szCs w:val="24"/>
          <w:lang w:val="en-US" w:eastAsia="zh-CN"/>
        </w:rPr>
        <w:t>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RAN2#120 meeting agreements made on Fri online---based on offline report:</w:t>
      </w:r>
    </w:p>
    <w:p>
      <w:pPr>
        <w:numPr>
          <w:ilvl w:val="0"/>
          <w:numId w:val="13"/>
        </w:numPr>
        <w:ind w:left="420" w:leftChars="0" w:hanging="420" w:firstLineChars="0"/>
        <w:contextualSpacing/>
        <w:rPr>
          <w:rFonts w:hint="default" w:ascii="Times New Roman" w:hAnsi="Times New Roman" w:cs="Times New Roman"/>
          <w:sz w:val="16"/>
          <w:szCs w:val="16"/>
        </w:rPr>
      </w:pPr>
      <w:r>
        <w:rPr>
          <w:rFonts w:hint="default" w:ascii="Times New Roman" w:hAnsi="Times New Roman" w:cs="Times New Roman"/>
          <w:sz w:val="16"/>
          <w:szCs w:val="16"/>
        </w:rPr>
        <w:t>On NCR-MT RLF:</w:t>
      </w:r>
    </w:p>
    <w:p>
      <w:pPr>
        <w:keepNext w:val="0"/>
        <w:keepLines w:val="0"/>
        <w:pageBreakBefore w:val="0"/>
        <w:widowControl w:val="0"/>
        <w:numPr>
          <w:ilvl w:val="0"/>
          <w:numId w:val="14"/>
        </w:numPr>
        <w:kinsoku/>
        <w:wordWrap/>
        <w:overflowPunct/>
        <w:topLinePunct w:val="0"/>
        <w:autoSpaceDE/>
        <w:autoSpaceDN/>
        <w:bidi w:val="0"/>
        <w:adjustRightInd/>
        <w:snapToGrid/>
        <w:ind w:left="840" w:leftChars="200" w:hanging="420" w:firstLineChars="0"/>
        <w:contextualSpacing/>
        <w:textAlignment w:val="auto"/>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After RLF is declared by NCR-MT, NCR-MT performs cell selection and trigger RRC re-establishment;</w:t>
      </w:r>
    </w:p>
    <w:p>
      <w:pPr>
        <w:keepNext w:val="0"/>
        <w:keepLines w:val="0"/>
        <w:pageBreakBefore w:val="0"/>
        <w:widowControl w:val="0"/>
        <w:numPr>
          <w:ilvl w:val="0"/>
          <w:numId w:val="14"/>
        </w:numPr>
        <w:kinsoku/>
        <w:wordWrap/>
        <w:overflowPunct/>
        <w:topLinePunct w:val="0"/>
        <w:autoSpaceDE/>
        <w:autoSpaceDN/>
        <w:bidi w:val="0"/>
        <w:adjustRightInd/>
        <w:snapToGrid/>
        <w:ind w:left="840" w:leftChars="200" w:hanging="420" w:firstLineChars="0"/>
        <w:contextualSpacing/>
        <w:textAlignment w:val="auto"/>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If NCR-MT enters RRC_IDLE due to no suitable cell is find, NCR-Fwd is OFF;</w:t>
      </w:r>
    </w:p>
    <w:p>
      <w:pPr>
        <w:keepNext w:val="0"/>
        <w:keepLines w:val="0"/>
        <w:pageBreakBefore w:val="0"/>
        <w:widowControl w:val="0"/>
        <w:numPr>
          <w:ilvl w:val="0"/>
          <w:numId w:val="14"/>
        </w:numPr>
        <w:kinsoku/>
        <w:wordWrap/>
        <w:overflowPunct/>
        <w:topLinePunct w:val="0"/>
        <w:autoSpaceDE/>
        <w:autoSpaceDN/>
        <w:bidi w:val="0"/>
        <w:adjustRightInd/>
        <w:snapToGrid/>
        <w:ind w:left="840" w:leftChars="200" w:hanging="420" w:firstLineChars="0"/>
        <w:contextualSpacing/>
        <w:textAlignment w:val="auto"/>
        <w:rPr>
          <w:rFonts w:hint="default" w:ascii="Times New Roman" w:hAnsi="Times New Roman" w:cs="Times New Roman"/>
          <w:sz w:val="16"/>
          <w:szCs w:val="16"/>
        </w:rPr>
      </w:pPr>
      <w:r>
        <w:rPr>
          <w:rFonts w:hint="default" w:ascii="Times New Roman" w:hAnsi="Times New Roman" w:cs="Times New Roman"/>
          <w:sz w:val="16"/>
          <w:szCs w:val="16"/>
        </w:rPr>
        <w:t></w:t>
      </w:r>
      <w:r>
        <w:rPr>
          <w:rFonts w:hint="default" w:ascii="Times New Roman" w:hAnsi="Times New Roman" w:cs="Times New Roman"/>
          <w:sz w:val="16"/>
          <w:szCs w:val="16"/>
        </w:rPr>
        <w:tab/>
      </w:r>
      <w:r>
        <w:rPr>
          <w:rFonts w:hint="default" w:ascii="Times New Roman" w:hAnsi="Times New Roman" w:cs="Times New Roman"/>
          <w:sz w:val="16"/>
          <w:szCs w:val="16"/>
        </w:rPr>
        <w:t>During RRC re-establishment procedure, NCR-Fwd is OFF.</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last RAN2#120 meeting, RRC re-establishment for NCR-MT is still supported. From this perspective, we believe that corresponding RRM requirement should be still specified and the existing RRM requirement from TS38.174 clause 12.1.1.1 could be baseline.</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xml:space="preserve"> to define the RRC re-establishment requirement for NCR-MT in Rel-18 and reuse the existing IAB-MT RRM requirement from TS38.174 clause 12.1.1.1 as baseline.</w:t>
      </w:r>
    </w:p>
    <w:p>
      <w:pPr>
        <w:contextualSpacing/>
        <w:rPr>
          <w:rFonts w:hint="default" w:ascii="Times New Roman" w:hAnsi="Times New Roman" w:eastAsia="宋体" w:cs="Times New Roman"/>
          <w:sz w:val="16"/>
          <w:szCs w:val="16"/>
          <w:lang w:val="en-US" w:eastAsia="zh-CN"/>
        </w:rPr>
      </w:pPr>
    </w:p>
    <w:p>
      <w:pPr>
        <w:keepNext w:val="0"/>
        <w:keepLines w:val="0"/>
        <w:pageBreakBefore w:val="0"/>
        <w:widowControl w:val="0"/>
        <w:kinsoku/>
        <w:wordWrap/>
        <w:overflowPunct/>
        <w:topLinePunct w:val="0"/>
        <w:autoSpaceDE/>
        <w:autoSpaceDN/>
        <w:bidi w:val="0"/>
        <w:adjustRightInd/>
        <w:snapToGrid/>
        <w:contextualSpacing/>
        <w:textAlignment w:val="auto"/>
        <w:outlineLvl w:val="2"/>
        <w:rPr>
          <w:rFonts w:hint="default" w:ascii="Arial" w:hAnsi="Arial" w:cs="Arial"/>
          <w:sz w:val="24"/>
          <w:szCs w:val="24"/>
          <w:lang w:val="en-US" w:eastAsia="zh-CN"/>
        </w:rPr>
      </w:pPr>
      <w:r>
        <w:rPr>
          <w:rFonts w:hint="default" w:ascii="Arial" w:hAnsi="Arial" w:cs="Arial"/>
          <w:sz w:val="24"/>
          <w:szCs w:val="24"/>
          <w:lang w:val="en-US" w:eastAsia="zh-CN"/>
        </w:rPr>
        <w:t>2.3.</w:t>
      </w:r>
      <w:r>
        <w:rPr>
          <w:rFonts w:hint="eastAsia" w:ascii="Arial" w:hAnsi="Arial" w:cs="Arial"/>
          <w:sz w:val="24"/>
          <w:szCs w:val="24"/>
          <w:lang w:val="en-US" w:eastAsia="zh-CN"/>
        </w:rPr>
        <w:t>2.</w:t>
      </w:r>
      <w:r>
        <w:rPr>
          <w:rFonts w:hint="default" w:ascii="Arial" w:hAnsi="Arial" w:cs="Arial"/>
          <w:sz w:val="24"/>
          <w:szCs w:val="24"/>
          <w:lang w:val="en-US" w:eastAsia="zh-CN"/>
        </w:rPr>
        <w:t xml:space="preserve"> Random access</w:t>
      </w:r>
    </w:p>
    <w:p>
      <w:pPr>
        <w:autoSpaceDE/>
        <w:autoSpaceDN/>
        <w:adjustRightInd/>
        <w:snapToGrid/>
        <w:spacing w:before="0" w:beforeLines="-2147483648" w:after="0" w:afterLines="-2147483648" w:line="240" w:lineRule="auto"/>
        <w:jc w:val="left"/>
        <w:rPr>
          <w:rFonts w:hint="eastAsia" w:cs="Times New Roman"/>
          <w:sz w:val="16"/>
          <w:szCs w:val="16"/>
          <w:lang w:val="en-US" w:eastAsia="zh-CN"/>
        </w:rPr>
      </w:pPr>
      <w:r>
        <w:rPr>
          <w:rFonts w:hint="eastAsia"/>
          <w:sz w:val="20"/>
          <w:highlight w:val="none"/>
          <w:lang w:val="en-US" w:eastAsia="zh-CN"/>
        </w:rPr>
        <w:t xml:space="preserve">RAN1#111 meeting agreement: </w:t>
      </w:r>
    </w:p>
    <w:p>
      <w:pPr>
        <w:rPr>
          <w:szCs w:val="20"/>
          <w:highlight w:val="green"/>
        </w:rPr>
      </w:pPr>
      <w:r>
        <w:rPr>
          <w:szCs w:val="20"/>
          <w:highlight w:val="green"/>
        </w:rPr>
        <w:t>Agreement</w:t>
      </w:r>
    </w:p>
    <w:p>
      <w:pPr>
        <w:pStyle w:val="33"/>
        <w:numPr>
          <w:ilvl w:val="0"/>
          <w:numId w:val="15"/>
        </w:numPr>
      </w:pPr>
      <w:r>
        <w:t xml:space="preserve">Legacy Rel-15 initial/random access procedure is supported for NCR-MTs in C link. </w:t>
      </w:r>
    </w:p>
    <w:p>
      <w:pPr>
        <w:pStyle w:val="33"/>
        <w:numPr>
          <w:ilvl w:val="1"/>
          <w:numId w:val="15"/>
        </w:numPr>
      </w:pPr>
      <w:r>
        <w:t>Note: No additional enhancement is necessary from RAN1 point of view.</w:t>
      </w:r>
    </w:p>
    <w:p>
      <w:pPr>
        <w:pStyle w:val="33"/>
        <w:numPr>
          <w:ilvl w:val="0"/>
          <w:numId w:val="15"/>
        </w:numPr>
      </w:pPr>
      <w:r>
        <w:t>The CRC bits of the PDCCHs carrying side control information are scrambled by</w:t>
      </w:r>
      <w:r>
        <w:rPr>
          <w:rFonts w:eastAsia="Yu Mincho"/>
          <w:lang w:val="en-US"/>
        </w:rPr>
        <w:t xml:space="preserve"> a new dedicated RNTI </w:t>
      </w:r>
    </w:p>
    <w:p>
      <w:pPr>
        <w:pStyle w:val="33"/>
        <w:numPr>
          <w:ilvl w:val="1"/>
          <w:numId w:val="15"/>
        </w:numPr>
        <w:rPr>
          <w:rFonts w:ascii="Times New Roman" w:hAnsi="Times New Roman"/>
          <w:iCs/>
          <w:szCs w:val="20"/>
          <w:lang w:eastAsia="zh-CN"/>
        </w:rPr>
      </w:pPr>
      <w:r>
        <w:t>Applicable only for NCR-M</w:t>
      </w:r>
      <w:r>
        <w:rPr>
          <w:rFonts w:hint="eastAsia"/>
          <w:lang w:val="en-US" w:eastAsia="zh-CN"/>
        </w:rPr>
        <w:t>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In last RAN1#111 meeting, RAN1 has made the above agreement for NCR-MT in C link, from this perspective, it seems that 4 step RACH should be sufficient for NCR-MT. </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sz w:val="20"/>
          <w:highlight w:val="none"/>
          <w:lang w:val="en-US" w:eastAsia="zh-CN"/>
        </w:rPr>
        <w:t>Proposal 4:</w:t>
      </w:r>
      <w:r>
        <w:rPr>
          <w:rFonts w:hint="eastAsia"/>
          <w:sz w:val="20"/>
          <w:highlight w:val="none"/>
          <w:lang w:val="en-US" w:eastAsia="zh-CN"/>
        </w:rPr>
        <w:t xml:space="preserve"> to define the 4 step RACH requirement for NCR-MT and reuse the existing UE requirement in clause 6.2.2 of TS38.133.</w:t>
      </w:r>
    </w:p>
    <w:p>
      <w:pPr>
        <w:pStyle w:val="33"/>
        <w:numPr>
          <w:ilvl w:val="0"/>
          <w:numId w:val="0"/>
        </w:numPr>
        <w:rPr>
          <w:rFonts w:hint="eastAsia"/>
          <w:lang w:val="en-US" w:eastAsia="zh-CN"/>
        </w:rPr>
      </w:pPr>
    </w:p>
    <w:p>
      <w:pPr>
        <w:contextualSpacing/>
        <w:rPr>
          <w:rFonts w:hint="default" w:ascii="Times New Roman" w:hAnsi="Times New Roman" w:cs="Times New Roman"/>
          <w:sz w:val="16"/>
          <w:szCs w:val="16"/>
        </w:rPr>
      </w:pPr>
      <w:r>
        <w:rPr>
          <w:rFonts w:hint="default" w:ascii="Arial" w:hAnsi="Arial" w:cs="Arial"/>
          <w:sz w:val="24"/>
          <w:szCs w:val="24"/>
          <w:lang w:val="en-US" w:eastAsia="zh-CN"/>
        </w:rPr>
        <w:t>2.3.</w:t>
      </w:r>
      <w:r>
        <w:rPr>
          <w:rFonts w:hint="eastAsia" w:ascii="Arial" w:hAnsi="Arial" w:cs="Arial"/>
          <w:sz w:val="24"/>
          <w:szCs w:val="24"/>
          <w:lang w:val="en-US" w:eastAsia="zh-CN"/>
        </w:rPr>
        <w:t>3.</w:t>
      </w:r>
      <w:r>
        <w:rPr>
          <w:rFonts w:hint="default" w:ascii="Arial" w:hAnsi="Arial" w:cs="Arial"/>
          <w:sz w:val="24"/>
          <w:szCs w:val="24"/>
        </w:rPr>
        <w:t xml:space="preserve"> RRC release with redirection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Regarding </w:t>
      </w:r>
      <w:r>
        <w:rPr>
          <w:rFonts w:hint="default"/>
          <w:sz w:val="20"/>
          <w:highlight w:val="none"/>
          <w:lang w:val="en-US" w:eastAsia="zh-CN"/>
        </w:rPr>
        <w:t>RRC release with redirection</w:t>
      </w:r>
      <w:r>
        <w:rPr>
          <w:rFonts w:hint="eastAsia"/>
          <w:sz w:val="20"/>
          <w:highlight w:val="none"/>
          <w:lang w:val="en-US" w:eastAsia="zh-CN"/>
        </w:rPr>
        <w:t>, even though handover has agreed to not be supported, however the network can still trigger RRC Release with redirection in order to change the UE to other frequency/cell. From this perspective, we still suggest to define the RRM requirement for RRC release with redirection of NCR-MT.</w:t>
      </w:r>
    </w:p>
    <w:p>
      <w:pPr>
        <w:autoSpaceDE/>
        <w:autoSpaceDN/>
        <w:adjustRightInd/>
        <w:snapToGrid/>
        <w:spacing w:before="0" w:beforeLines="-2147483648" w:after="0" w:afterLines="-2147483648" w:line="240" w:lineRule="auto"/>
        <w:jc w:val="left"/>
        <w:rPr>
          <w:rFonts w:hint="eastAsia" w:eastAsia="宋体"/>
          <w:sz w:val="20"/>
          <w:highlight w:val="none"/>
          <w:lang w:val="en-US" w:eastAsia="zh-CN"/>
        </w:rPr>
      </w:pPr>
      <w:r>
        <w:rPr>
          <w:rFonts w:hint="eastAsia"/>
          <w:b/>
          <w:bCs/>
          <w:sz w:val="20"/>
          <w:highlight w:val="none"/>
          <w:lang w:val="en-US" w:eastAsia="zh-CN"/>
        </w:rPr>
        <w:t>Proposal 5:</w:t>
      </w:r>
      <w:r>
        <w:rPr>
          <w:rFonts w:hint="eastAsia"/>
          <w:sz w:val="20"/>
          <w:highlight w:val="none"/>
          <w:lang w:val="en-US" w:eastAsia="zh-CN"/>
        </w:rPr>
        <w:t xml:space="preserve"> to define the </w:t>
      </w:r>
      <w:r>
        <w:rPr>
          <w:rFonts w:hint="default"/>
          <w:sz w:val="20"/>
          <w:highlight w:val="none"/>
          <w:lang w:val="en-US" w:eastAsia="zh-CN"/>
        </w:rPr>
        <w:t>RRC release with redirection</w:t>
      </w:r>
      <w:r>
        <w:rPr>
          <w:rFonts w:hint="eastAsia"/>
          <w:sz w:val="20"/>
          <w:highlight w:val="none"/>
          <w:lang w:val="en-US" w:eastAsia="zh-CN"/>
        </w:rPr>
        <w:t xml:space="preserve"> requirement for NCR-MT and reuse the existing IAB-MT RRM requirement in T38.174 clause </w:t>
      </w:r>
      <w:r>
        <w:t>12.1.1.3</w:t>
      </w:r>
      <w:r>
        <w:rPr>
          <w:rFonts w:hint="eastAsia"/>
          <w:lang w:val="en-US" w:eastAsia="zh-CN"/>
        </w:rPr>
        <w:t>.</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Theme="minorBidi" w:hAnsiTheme="minorBidi" w:cstheme="minorBidi"/>
          <w:bCs/>
          <w:sz w:val="20"/>
          <w:szCs w:val="20"/>
          <w:lang w:val="en-US" w:eastAsia="zh-CN"/>
        </w:rPr>
      </w:pPr>
      <w:r>
        <w:rPr>
          <w:rFonts w:hint="eastAsia" w:ascii="Arial" w:hAnsi="Arial" w:cs="Arial"/>
          <w:sz w:val="28"/>
          <w:szCs w:val="28"/>
          <w:lang w:val="en-US" w:eastAsia="zh-CN"/>
        </w:rPr>
        <w:t>2.4. Transmit timing requirement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last RAN4 meeting, there were some further discussions how to define the transmit timing requirement for NCR-MT, however there were no much progress reached in short online discussion ting. In this section, we want to further clarify our motivation on the following requirement for NCR-MT.</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pStyle w:val="33"/>
        <w:numPr>
          <w:ilvl w:val="0"/>
          <w:numId w:val="16"/>
        </w:numPr>
        <w:rPr>
          <w:highlight w:val="green"/>
        </w:rPr>
      </w:pPr>
      <w:r>
        <w:rPr>
          <w:highlight w:val="green"/>
        </w:rPr>
        <w:t>Agreement</w:t>
      </w:r>
    </w:p>
    <w:p>
      <w:pPr>
        <w:pStyle w:val="33"/>
        <w:numPr>
          <w:ilvl w:val="1"/>
          <w:numId w:val="16"/>
        </w:numPr>
        <w:rPr>
          <w:highlight w:val="green"/>
        </w:rPr>
      </w:pPr>
      <w:r>
        <w:rPr>
          <w:highlight w:val="green"/>
        </w:rPr>
        <w:t>Further discuss and define, if necessary, NCR-MT timing requirements based on further RAN1/RAN2 progress</w:t>
      </w:r>
    </w:p>
    <w:p>
      <w:pPr>
        <w:pStyle w:val="33"/>
        <w:numPr>
          <w:ilvl w:val="1"/>
          <w:numId w:val="16"/>
        </w:numPr>
        <w:rPr>
          <w:highlight w:val="green"/>
        </w:rPr>
      </w:pPr>
      <w:r>
        <w:rPr>
          <w:highlight w:val="green"/>
        </w:rPr>
        <w:t xml:space="preserve">Candidate requirements include </w:t>
      </w:r>
    </w:p>
    <w:p>
      <w:pPr>
        <w:pStyle w:val="33"/>
        <w:numPr>
          <w:ilvl w:val="2"/>
          <w:numId w:val="16"/>
        </w:numPr>
        <w:rPr>
          <w:highlight w:val="green"/>
        </w:rPr>
      </w:pPr>
      <w:r>
        <w:rPr>
          <w:rFonts w:hint="eastAsia"/>
          <w:highlight w:val="green"/>
        </w:rPr>
        <w:t>NCR transmit timing</w:t>
      </w:r>
      <w:r>
        <w:rPr>
          <w:highlight w:val="green"/>
        </w:rPr>
        <w:t xml:space="preserve"> (Te and gradual timing adjustment)</w:t>
      </w:r>
    </w:p>
    <w:p>
      <w:pPr>
        <w:pStyle w:val="33"/>
        <w:numPr>
          <w:ilvl w:val="2"/>
          <w:numId w:val="16"/>
        </w:numPr>
        <w:rPr>
          <w:highlight w:val="green"/>
        </w:rPr>
      </w:pPr>
      <w:r>
        <w:rPr>
          <w:rFonts w:hint="eastAsia"/>
          <w:highlight w:val="green"/>
        </w:rPr>
        <w:t>NCR timer accuracy</w:t>
      </w:r>
    </w:p>
    <w:p>
      <w:pPr>
        <w:pStyle w:val="33"/>
        <w:numPr>
          <w:ilvl w:val="2"/>
          <w:numId w:val="16"/>
        </w:numPr>
        <w:rPr>
          <w:rFonts w:hint="eastAsia" w:asciiTheme="minorBidi" w:hAnsiTheme="minorBidi" w:cstheme="minorBidi"/>
          <w:bCs/>
          <w:sz w:val="20"/>
          <w:szCs w:val="20"/>
          <w:lang w:val="en-US" w:eastAsia="zh-CN"/>
        </w:rPr>
      </w:pPr>
      <w:r>
        <w:rPr>
          <w:rFonts w:hint="eastAsia"/>
          <w:highlight w:val="green"/>
        </w:rPr>
        <w:t>Timing advance</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val="0"/>
          <w:bCs/>
          <w:sz w:val="20"/>
          <w:szCs w:val="20"/>
          <w:lang w:val="en-US" w:eastAsia="zh-CN"/>
        </w:rPr>
        <w:t>First of all, since the NCR-MT transmission should work similar as normal UE based downlink sync timing to transmit its uplink data. From this perspective, the legacy initial transmission timing error Te are still needed which could apply to the first PUCCH/PUSCH/SRS transmission in a DRX cycle or the PRACH/msgA transmission. It should be noted that DRX configuration for NCR-MT is not precluded in Rel-18. Especially considering the information exchange between NCR-MT and donor gNB might be not so frequent, therefore DRX are still useful for this scenario from our understanding. In addition, it should be noted that we also defined the initial transmission timing error requirement for Rel-16 IAB-MT, we don</w:t>
      </w:r>
      <w:r>
        <w:rPr>
          <w:rFonts w:hint="default" w:asciiTheme="minorBidi" w:hAnsiTheme="minorBidi" w:cstheme="minorBidi"/>
          <w:b w:val="0"/>
          <w:bCs/>
          <w:sz w:val="20"/>
          <w:szCs w:val="20"/>
          <w:lang w:val="en-US" w:eastAsia="zh-CN"/>
        </w:rPr>
        <w:t>’</w:t>
      </w:r>
      <w:r>
        <w:rPr>
          <w:rFonts w:hint="eastAsia" w:asciiTheme="minorBidi" w:hAnsiTheme="minorBidi" w:cstheme="minorBidi"/>
          <w:b w:val="0"/>
          <w:bCs/>
          <w:sz w:val="20"/>
          <w:szCs w:val="20"/>
          <w:lang w:val="en-US" w:eastAsia="zh-CN"/>
        </w:rPr>
        <w:t>t see the reasons to preclude this requirement for NCR-MT in Rel-18.</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6: </w:t>
      </w:r>
      <w:r>
        <w:rPr>
          <w:rFonts w:hint="eastAsia" w:asciiTheme="minorBidi" w:hAnsiTheme="minorBidi" w:cstheme="minorBidi"/>
          <w:b w:val="0"/>
          <w:bCs/>
          <w:sz w:val="20"/>
          <w:szCs w:val="20"/>
          <w:lang w:val="en-US" w:eastAsia="zh-CN"/>
        </w:rPr>
        <w:t xml:space="preserve">to define the initial transmit timing requirement Te for NCR-MT and reuse the Te requirement defined for IAB-MT in Rel-16. </w:t>
      </w:r>
    </w:p>
    <w:p>
      <w:pPr>
        <w:autoSpaceDE/>
        <w:autoSpaceDN/>
        <w:adjustRightInd/>
        <w:snapToGrid/>
        <w:spacing w:before="0" w:beforeLines="-2147483648" w:after="0" w:afterLines="-2147483648" w:line="240" w:lineRule="auto"/>
        <w:jc w:val="left"/>
        <w:rPr>
          <w:rFonts w:hint="eastAsia"/>
          <w:sz w:val="22"/>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val="0"/>
          <w:bCs/>
          <w:sz w:val="20"/>
          <w:szCs w:val="20"/>
          <w:lang w:val="en-US" w:eastAsia="zh-CN"/>
        </w:rPr>
        <w:t>Secondly, regarding the gradual timing adjustment requirement, based on the discussions in the previous meeting, even though propagation channel between NCR-MT and parent BS node are expected to be stable in most of time, however in the practice, as shown in Figure 1, for some local area NCR, its propagation channel could be still blocked due to the surrounding movable objects (e.g. movable trucks as shown in Figure 1). In addition, it should be noted that freq error from BS will also result in the potential timing drift as explained in the following figure instead of only considering UE mobility itself. In short, we could still see the possibility of timing drift at the NCR-MT side even though NCR is fixedly deployed. In addition, similar story also applies for Rel-16 IAB-MT gradual timing requirement and we prefer to keep the alignment between Rel-16 IAB-MT and Rel-18 NCR-MT.</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7: </w:t>
      </w:r>
      <w:r>
        <w:rPr>
          <w:rFonts w:hint="eastAsia" w:asciiTheme="minorBidi" w:hAnsiTheme="minorBidi" w:cstheme="minorBidi"/>
          <w:b w:val="0"/>
          <w:bCs/>
          <w:sz w:val="20"/>
          <w:szCs w:val="20"/>
          <w:lang w:val="en-US" w:eastAsia="zh-CN"/>
        </w:rPr>
        <w:t>to define the gradual timing adjustment requirement Tp and Tq for NCR-MT and reuse the requirement defined for IAB-MT in Rel-16.</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88075" cy="3198495"/>
            <wp:effectExtent l="0" t="0" r="317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88075" cy="319849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default" w:eastAsia="宋体"/>
          <w:lang w:val="en-US" w:eastAsia="zh-CN"/>
        </w:rPr>
      </w:pPr>
      <w:r>
        <w:rPr>
          <w:rFonts w:hint="eastAsia"/>
          <w:lang w:val="en-US" w:eastAsia="zh-CN"/>
        </w:rPr>
        <w:t>Figure 1. the potential timing drift/jumping for Local area NCR-MT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Cs/>
          <w:sz w:val="20"/>
          <w:szCs w:val="20"/>
          <w:lang w:val="en-US" w:eastAsia="zh-CN"/>
        </w:rPr>
        <w:t>For NCR-MT timer requirement, we don</w:t>
      </w:r>
      <w:r>
        <w:rPr>
          <w:rFonts w:hint="default" w:asciiTheme="minorBidi" w:hAnsiTheme="minorBidi" w:cstheme="minorBidi"/>
          <w:bCs/>
          <w:sz w:val="20"/>
          <w:szCs w:val="20"/>
          <w:lang w:val="en-US" w:eastAsia="zh-CN"/>
        </w:rPr>
        <w:t>’</w:t>
      </w:r>
      <w:r>
        <w:rPr>
          <w:rFonts w:hint="eastAsia" w:asciiTheme="minorBidi" w:hAnsiTheme="minorBidi" w:cstheme="minorBidi"/>
          <w:bCs/>
          <w:sz w:val="20"/>
          <w:szCs w:val="20"/>
          <w:lang w:val="en-US" w:eastAsia="zh-CN"/>
        </w:rPr>
        <w:t xml:space="preserve">t see the reasons to preclude it since there ares still timer used in the different protocol entities to control the NCR-MT behaviour. It should be okay to reuse the existing UE timer requirement defined in clause 7.2.1 of TS38.133.  </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8:</w:t>
      </w:r>
      <w:r>
        <w:rPr>
          <w:rFonts w:hint="eastAsia" w:asciiTheme="minorBidi" w:hAnsiTheme="minorBidi" w:cstheme="minorBidi"/>
          <w:bCs/>
          <w:sz w:val="20"/>
          <w:szCs w:val="20"/>
          <w:lang w:val="en-US" w:eastAsia="zh-CN"/>
        </w:rPr>
        <w:t xml:space="preserve"> </w:t>
      </w:r>
      <w:r>
        <w:rPr>
          <w:rFonts w:hint="eastAsia"/>
          <w:sz w:val="22"/>
          <w:lang w:val="en-US" w:eastAsia="zh-CN"/>
        </w:rPr>
        <w:t xml:space="preserve">to define the timer accuracy requirement for NCR-MT and reuse the requirement </w:t>
      </w:r>
      <w:r>
        <w:rPr>
          <w:rFonts w:hint="eastAsia" w:asciiTheme="minorBidi" w:hAnsiTheme="minorBidi" w:cstheme="minorBidi"/>
          <w:bCs/>
          <w:sz w:val="20"/>
          <w:szCs w:val="20"/>
          <w:lang w:val="en-US" w:eastAsia="zh-CN"/>
        </w:rPr>
        <w:t>in clause 7.2.1 of TS38.133.</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eastAsia="宋体" w:asciiTheme="minorBidi" w:hAnsiTheme="minorBidi" w:cstheme="minorBidi"/>
          <w:bCs/>
          <w:sz w:val="20"/>
          <w:szCs w:val="20"/>
          <w:lang w:val="en-US" w:eastAsia="zh-CN"/>
        </w:rPr>
      </w:pPr>
      <w:r>
        <w:rPr>
          <w:rFonts w:hint="eastAsia" w:asciiTheme="minorBidi" w:hAnsiTheme="minorBidi" w:cstheme="minorBidi"/>
          <w:bCs/>
          <w:sz w:val="20"/>
          <w:szCs w:val="20"/>
          <w:lang w:val="en-US" w:eastAsia="zh-CN"/>
        </w:rPr>
        <w:t>For NCR-MT TA</w:t>
      </w:r>
      <w:r>
        <w:t xml:space="preserve"> adjustment accuracy</w:t>
      </w:r>
      <w:r>
        <w:rPr>
          <w:rFonts w:hint="eastAsia"/>
          <w:lang w:val="en-US" w:eastAsia="zh-CN"/>
        </w:rPr>
        <w:t xml:space="preserve">, based on the following agreement reached in RAN1, TA adjustment accuracy requirement are still needed since network will send the TA command to NCR-MT and NCR-MT should execute the TA command in the uplink. Without its TA adjustment accuracy requirement, it might be hard to ensure its performance. Regarding the reasons why TA command is needed, please check the above clarifications for gradual timing adjustment part. </w:t>
      </w:r>
    </w:p>
    <w:p>
      <w:pPr>
        <w:pBdr>
          <w:top w:val="single" w:color="auto" w:sz="4" w:space="1"/>
        </w:pBdr>
        <w:rPr>
          <w:rFonts w:ascii="Times" w:hAnsi="Times" w:eastAsia="Batang"/>
          <w:i/>
          <w:iCs/>
          <w:sz w:val="20"/>
          <w:highlight w:val="green"/>
          <w:lang w:val="en-GB" w:eastAsia="en-US"/>
        </w:rPr>
      </w:pPr>
      <w:r>
        <w:rPr>
          <w:rFonts w:ascii="Times" w:hAnsi="Times" w:eastAsia="Batang"/>
          <w:i/>
          <w:iCs/>
          <w:sz w:val="20"/>
          <w:highlight w:val="green"/>
          <w:lang w:val="en-GB" w:eastAsia="en-US"/>
        </w:rPr>
        <w:t>Agreement:</w:t>
      </w:r>
    </w:p>
    <w:p>
      <w:pPr>
        <w:pBdr>
          <w:bottom w:val="single" w:color="auto" w:sz="4" w:space="1"/>
        </w:pBdr>
        <w:rPr>
          <w:rFonts w:ascii="Times" w:hAnsi="Times" w:eastAsia="Batang"/>
          <w:i/>
          <w:iCs/>
          <w:sz w:val="20"/>
          <w:lang w:val="en-GB" w:eastAsia="en-US"/>
        </w:rPr>
      </w:pPr>
      <w:r>
        <w:rPr>
          <w:rFonts w:ascii="Times" w:hAnsi="Times" w:eastAsia="Batang"/>
          <w:i/>
          <w:iCs/>
          <w:sz w:val="20"/>
          <w:lang w:val="en-GB" w:eastAsia="en-US"/>
        </w:rPr>
        <w:t>The TA adjustment mechanism of legacy UEs is supported for NCR-MT in C link.</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9</w:t>
      </w:r>
      <w:r>
        <w:rPr>
          <w:rFonts w:hint="eastAsia" w:asciiTheme="minorBidi" w:hAnsiTheme="minorBidi" w:cstheme="minorBidi"/>
          <w:bCs/>
          <w:sz w:val="20"/>
          <w:szCs w:val="20"/>
          <w:lang w:val="en-US" w:eastAsia="zh-CN"/>
        </w:rPr>
        <w:t>: to define TA adjustment accuracy requirement for NCR-MT and reuse the same requirement as Rel-16 IAB-MT.</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2.5. </w:t>
      </w:r>
      <w:r>
        <w:rPr>
          <w:rFonts w:hint="default" w:ascii="Arial" w:hAnsi="Arial" w:cs="Arial"/>
          <w:sz w:val="28"/>
          <w:szCs w:val="28"/>
          <w:lang w:val="en-US" w:eastAsia="zh-CN"/>
        </w:rPr>
        <w:t>Active BWP switching</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default" w:asciiTheme="minorBidi" w:hAnsiTheme="minorBidi" w:cstheme="minorBidi"/>
          <w:bCs/>
          <w:sz w:val="20"/>
          <w:szCs w:val="20"/>
          <w:lang w:val="en-US" w:eastAsia="zh-CN"/>
        </w:rPr>
        <w:t>BWP switching for Rel-18 NCR-MT is not expected to happen frequently and don’t see its strong necessity</w:t>
      </w:r>
      <w:r>
        <w:rPr>
          <w:rFonts w:hint="eastAsia" w:asciiTheme="minorBidi" w:hAnsiTheme="minorBidi" w:cstheme="minorBidi"/>
          <w:bCs/>
          <w:sz w:val="20"/>
          <w:szCs w:val="20"/>
          <w:lang w:val="en-US" w:eastAsia="zh-CN"/>
        </w:rPr>
        <w:t xml:space="preserve"> similar as Rel-16 IAB-MT.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10</w:t>
      </w:r>
      <w:r>
        <w:rPr>
          <w:rFonts w:hint="eastAsia" w:asciiTheme="minorBidi" w:hAnsiTheme="minorBidi" w:cstheme="minorBidi"/>
          <w:bCs/>
          <w:sz w:val="20"/>
          <w:szCs w:val="20"/>
          <w:lang w:val="en-US" w:eastAsia="zh-CN"/>
        </w:rPr>
        <w:t>: not to define the active BWP switching requirement for NCR-MT in Rel-18.</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Theme="minorBidi" w:hAnsiTheme="minorBidi" w:cstheme="minorBidi"/>
          <w:bCs/>
          <w:sz w:val="20"/>
          <w:szCs w:val="20"/>
          <w:lang w:val="en-US" w:eastAsia="zh-CN"/>
        </w:rPr>
      </w:pPr>
      <w:r>
        <w:rPr>
          <w:rFonts w:hint="eastAsia" w:ascii="Arial" w:hAnsi="Arial" w:cs="Arial"/>
          <w:sz w:val="28"/>
          <w:szCs w:val="28"/>
          <w:lang w:val="en-US" w:eastAsia="zh-CN"/>
        </w:rPr>
        <w:t>2.6. Adaptive beamforming for NCR-MT</w:t>
      </w:r>
    </w:p>
    <w:p>
      <w:pPr>
        <w:autoSpaceDE/>
        <w:autoSpaceDN/>
        <w:adjustRightInd/>
        <w:snapToGrid/>
        <w:spacing w:before="0" w:beforeLines="-2147483648" w:after="0" w:afterLines="-2147483648" w:line="240" w:lineRule="auto"/>
        <w:jc w:val="left"/>
        <w:rPr>
          <w:rFonts w:hint="eastAsia" w:cs="Times New Roman"/>
          <w:sz w:val="16"/>
          <w:szCs w:val="16"/>
          <w:lang w:val="en-US" w:eastAsia="zh-CN"/>
        </w:rPr>
      </w:pPr>
      <w:r>
        <w:rPr>
          <w:rFonts w:hint="eastAsia"/>
          <w:sz w:val="20"/>
          <w:highlight w:val="none"/>
          <w:lang w:val="en-US" w:eastAsia="zh-CN"/>
        </w:rPr>
        <w:t xml:space="preserve">RAN1#110bis meeting agreement: </w:t>
      </w:r>
    </w:p>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RAN4#105 meeting agreement: </w:t>
      </w:r>
    </w:p>
    <w:p>
      <w:pPr>
        <w:rPr>
          <w:u w:val="single"/>
          <w:lang w:val="en-US"/>
        </w:rPr>
      </w:pPr>
      <w:r>
        <w:rPr>
          <w:u w:val="single"/>
          <w:lang w:val="en-US"/>
        </w:rPr>
        <w:t xml:space="preserve">Issue </w:t>
      </w:r>
      <w:r>
        <w:rPr>
          <w:rFonts w:hint="eastAsia"/>
          <w:u w:val="single"/>
          <w:lang w:val="en-US"/>
        </w:rPr>
        <w:t>3</w:t>
      </w:r>
      <w:r>
        <w:rPr>
          <w:u w:val="single"/>
          <w:lang w:val="en-US"/>
        </w:rPr>
        <w:t>-</w:t>
      </w:r>
      <w:r>
        <w:rPr>
          <w:rFonts w:hint="eastAsia"/>
          <w:u w:val="single"/>
          <w:lang w:val="en-US"/>
        </w:rPr>
        <w:t>1</w:t>
      </w:r>
      <w:r>
        <w:rPr>
          <w:u w:val="single"/>
          <w:lang w:val="en-US"/>
        </w:rPr>
        <w:t>:</w:t>
      </w:r>
      <w:r>
        <w:rPr>
          <w:rFonts w:hint="eastAsia"/>
          <w:u w:val="single"/>
          <w:lang w:val="en-US"/>
        </w:rPr>
        <w:t xml:space="preserve"> adaptive beamforming for NCR-MT</w:t>
      </w:r>
      <w:r>
        <w:rPr>
          <w:u w:val="single"/>
          <w:lang w:val="en-US"/>
        </w:rPr>
        <w:t xml:space="preserve"> </w:t>
      </w:r>
      <w:r>
        <w:rPr>
          <w:rFonts w:hint="eastAsia"/>
          <w:u w:val="single"/>
          <w:lang w:val="en-US"/>
        </w:rPr>
        <w:t xml:space="preserve"> </w:t>
      </w:r>
    </w:p>
    <w:p>
      <w:pPr>
        <w:pStyle w:val="33"/>
        <w:numPr>
          <w:ilvl w:val="0"/>
          <w:numId w:val="17"/>
        </w:numPr>
        <w:rPr>
          <w:highlight w:val="green"/>
        </w:rPr>
      </w:pPr>
      <w:r>
        <w:rPr>
          <w:highlight w:val="green"/>
        </w:rPr>
        <w:t>Agreements</w:t>
      </w:r>
    </w:p>
    <w:p>
      <w:pPr>
        <w:pStyle w:val="33"/>
        <w:numPr>
          <w:ilvl w:val="1"/>
          <w:numId w:val="17"/>
        </w:numPr>
        <w:rPr>
          <w:highlight w:val="green"/>
        </w:rPr>
      </w:pPr>
      <w:r>
        <w:rPr>
          <w:highlight w:val="green"/>
        </w:rPr>
        <w:t xml:space="preserve">Further discuss and define, if necessary, NCR-MT </w:t>
      </w:r>
      <w:r>
        <w:rPr>
          <w:rFonts w:hint="eastAsia"/>
          <w:highlight w:val="green"/>
        </w:rPr>
        <w:t>beam management related</w:t>
      </w:r>
      <w:r>
        <w:rPr>
          <w:highlight w:val="green"/>
        </w:rPr>
        <w:t xml:space="preserve"> requirements based on further RAN1/RAN2 progress. </w:t>
      </w:r>
    </w:p>
    <w:p>
      <w:pPr>
        <w:pStyle w:val="33"/>
        <w:numPr>
          <w:ilvl w:val="1"/>
          <w:numId w:val="17"/>
        </w:numPr>
        <w:rPr>
          <w:highlight w:val="green"/>
        </w:rPr>
      </w:pPr>
      <w:r>
        <w:rPr>
          <w:highlight w:val="green"/>
        </w:rPr>
        <w:t xml:space="preserve">Candidate requirements include </w:t>
      </w:r>
    </w:p>
    <w:p>
      <w:pPr>
        <w:pStyle w:val="33"/>
        <w:numPr>
          <w:ilvl w:val="2"/>
          <w:numId w:val="17"/>
        </w:numPr>
        <w:spacing w:line="260" w:lineRule="auto"/>
        <w:rPr>
          <w:highlight w:val="green"/>
        </w:rPr>
      </w:pPr>
      <w:r>
        <w:rPr>
          <w:rFonts w:hint="eastAsia"/>
          <w:highlight w:val="green"/>
        </w:rPr>
        <w:t>Active TCI state switching delay</w:t>
      </w:r>
    </w:p>
    <w:p>
      <w:pPr>
        <w:pStyle w:val="33"/>
        <w:numPr>
          <w:ilvl w:val="2"/>
          <w:numId w:val="17"/>
        </w:numPr>
        <w:spacing w:line="260" w:lineRule="auto"/>
        <w:rPr>
          <w:highlight w:val="green"/>
        </w:rPr>
      </w:pPr>
      <w:r>
        <w:rPr>
          <w:rFonts w:hint="eastAsia"/>
          <w:highlight w:val="green"/>
        </w:rPr>
        <w:t>Uplink spatial relation switch delay</w:t>
      </w:r>
    </w:p>
    <w:p>
      <w:pPr>
        <w:pStyle w:val="33"/>
        <w:numPr>
          <w:ilvl w:val="2"/>
          <w:numId w:val="17"/>
        </w:numPr>
        <w:spacing w:line="260" w:lineRule="auto"/>
        <w:rPr>
          <w:highlight w:val="green"/>
        </w:rPr>
      </w:pPr>
      <w:r>
        <w:rPr>
          <w:rFonts w:hint="eastAsia"/>
          <w:highlight w:val="green"/>
        </w:rPr>
        <w:t>Active downlink TCI switching delay for unified TCI</w:t>
      </w:r>
    </w:p>
    <w:p>
      <w:pPr>
        <w:pStyle w:val="33"/>
        <w:numPr>
          <w:ilvl w:val="2"/>
          <w:numId w:val="17"/>
        </w:numPr>
        <w:spacing w:line="260" w:lineRule="auto"/>
        <w:rPr>
          <w:highlight w:val="green"/>
        </w:rPr>
      </w:pPr>
      <w:r>
        <w:rPr>
          <w:rFonts w:hint="eastAsia"/>
          <w:highlight w:val="green"/>
        </w:rPr>
        <w:t>Active uplink TCI switching delay for unified TCI</w:t>
      </w:r>
    </w:p>
    <w:p>
      <w:pPr>
        <w:pStyle w:val="33"/>
        <w:numPr>
          <w:ilvl w:val="2"/>
          <w:numId w:val="17"/>
        </w:numPr>
        <w:spacing w:line="260" w:lineRule="auto"/>
        <w:rPr>
          <w:highlight w:val="green"/>
        </w:rPr>
      </w:pPr>
      <w:r>
        <w:rPr>
          <w:rFonts w:hint="eastAsia"/>
          <w:highlight w:val="green"/>
        </w:rPr>
        <w:t>L1-RSRP measurement and reporting</w:t>
      </w:r>
    </w:p>
    <w:p>
      <w:pPr>
        <w:pStyle w:val="33"/>
        <w:numPr>
          <w:ilvl w:val="1"/>
          <w:numId w:val="17"/>
        </w:numPr>
        <w:spacing w:line="260" w:lineRule="auto"/>
        <w:rPr>
          <w:highlight w:val="green"/>
        </w:rPr>
      </w:pPr>
      <w:r>
        <w:rPr>
          <w:highlight w:val="green"/>
        </w:rPr>
        <w:t>FFS on requirements applicability to different NCR classes</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Based on the previous agreement for Rel-18 NCR-MT in RAN1, NCR-MT at least need to support the Rel-15 TCI switching and Rel-17 unified TCI if supported. However compared with IAB RRM requirement, it should be okay not to define the TCI switching requirement for NCR-MT unless there are any problems identified for IAB-MT in the past. </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11</w:t>
      </w:r>
      <w:r>
        <w:rPr>
          <w:rFonts w:hint="eastAsia" w:asciiTheme="minorBidi" w:hAnsiTheme="minorBidi" w:cstheme="minorBidi"/>
          <w:bCs/>
          <w:sz w:val="20"/>
          <w:szCs w:val="20"/>
          <w:lang w:val="en-US" w:eastAsia="zh-CN"/>
        </w:rPr>
        <w:t>: not to define the active TCI switching requirements for NCR-MT in Rel-18.</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addition, regarding the beam information for NCR-Fwd access link, beam information for access link are informed to gNB and NCR via OAM agreed in last RAN1#111 meeting and network could further indicate the beam index of access link via the DCI indication (periodic beam indication) or RRC indication (aperiodic beam indication), however this is somehow quite different from the legacy TCI switching delay based on the previous L1-RSRP measurement report and further DCI or RRC indication for TCI state switch. For beam switching of NCR-Fwd access link, it could be done by the implementation without waiting for first SSB transmission after reception of RRC configuration.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short, the beam switching interruption could be left up to the implementation and its beam switching delay from the hardware perspective is also quite limited (e.g. down to 100ns or even much less than it in the practice.)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12: </w:t>
      </w:r>
      <w:r>
        <w:rPr>
          <w:rFonts w:hint="eastAsia" w:asciiTheme="minorBidi" w:hAnsiTheme="minorBidi" w:cstheme="minorBidi"/>
          <w:b w:val="0"/>
          <w:bCs/>
          <w:sz w:val="20"/>
          <w:szCs w:val="20"/>
          <w:lang w:val="en-US" w:eastAsia="zh-CN"/>
        </w:rPr>
        <w:t>not to define the RRM requirement for NCR-MT dynamic beam indication on the access link.</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17590" cy="2234565"/>
            <wp:effectExtent l="0" t="0" r="16510" b="13335"/>
            <wp:docPr id="1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51"/>
                    <pic:cNvPicPr>
                      <a:picLocks noChangeAspect="1"/>
                    </pic:cNvPicPr>
                  </pic:nvPicPr>
                  <pic:blipFill>
                    <a:blip r:embed="rId6"/>
                    <a:stretch>
                      <a:fillRect/>
                    </a:stretch>
                  </pic:blipFill>
                  <pic:spPr>
                    <a:xfrm>
                      <a:off x="0" y="0"/>
                      <a:ext cx="6117590" cy="223456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center"/>
        <w:rPr>
          <w:rFonts w:hint="eastAsia"/>
          <w:lang w:val="en-US" w:eastAsia="zh-CN"/>
        </w:rPr>
      </w:pPr>
      <w:r>
        <w:rPr>
          <w:rFonts w:hint="eastAsia"/>
          <w:lang w:val="en-US" w:eastAsia="zh-CN"/>
        </w:rPr>
        <w:t xml:space="preserve"> Figure 2. the legacy RRC based TCI state switch delay if the target TCI state is known</w:t>
      </w:r>
    </w:p>
    <w:p>
      <w:pPr>
        <w:autoSpaceDE/>
        <w:autoSpaceDN/>
        <w:adjustRightInd/>
        <w:snapToGrid/>
        <w:spacing w:before="0" w:beforeLines="-2147483648" w:after="0" w:afterLines="-2147483648" w:line="240" w:lineRule="auto"/>
        <w:jc w:val="both"/>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rPr>
                <w:rFonts w:cs="Times"/>
                <w:szCs w:val="20"/>
                <w:highlight w:val="green"/>
              </w:rPr>
            </w:pPr>
            <w:r>
              <w:rPr>
                <w:rFonts w:cs="Times"/>
                <w:szCs w:val="20"/>
                <w:highlight w:val="green"/>
              </w:rPr>
              <w:t>Agreement</w:t>
            </w:r>
          </w:p>
          <w:p>
            <w:pPr>
              <w:snapToGrid w:val="0"/>
              <w:rPr>
                <w:rFonts w:eastAsia="等线" w:cs="Times"/>
                <w:szCs w:val="20"/>
              </w:rPr>
            </w:pPr>
            <w:r>
              <w:rPr>
                <w:rFonts w:cs="Times"/>
                <w:bCs/>
                <w:szCs w:val="20"/>
              </w:rPr>
              <w:t xml:space="preserve">The following is supported to </w:t>
            </w:r>
            <w:r>
              <w:rPr>
                <w:rFonts w:eastAsia="等线" w:cs="Times"/>
                <w:szCs w:val="20"/>
              </w:rPr>
              <w:t xml:space="preserve">deliver the information to characterize the supported physical beam of NCR-Fwd for access link: </w:t>
            </w:r>
          </w:p>
          <w:p>
            <w:pPr>
              <w:tabs>
                <w:tab w:val="left" w:pos="1304"/>
                <w:tab w:val="left" w:pos="1440"/>
                <w:tab w:val="left" w:pos="2160"/>
              </w:tabs>
              <w:snapToGrid w:val="0"/>
              <w:rPr>
                <w:rFonts w:cs="Times"/>
                <w:szCs w:val="20"/>
                <w:lang w:eastAsia="zh-CN"/>
              </w:rPr>
            </w:pPr>
            <w:r>
              <w:rPr>
                <w:rFonts w:cs="Times"/>
                <w:szCs w:val="20"/>
                <w:lang w:eastAsia="zh-CN"/>
              </w:rPr>
              <w:t>Option-2: The information is informed to gNB and NCR via OAM</w:t>
            </w:r>
          </w:p>
          <w:p>
            <w:pPr>
              <w:pStyle w:val="33"/>
              <w:numPr>
                <w:ilvl w:val="0"/>
                <w:numId w:val="18"/>
              </w:numPr>
            </w:pPr>
            <w:r>
              <w:t>Note-1: In this option, how to characterize the beam information is based on implementation (e.g., declaration from NCR vendor).</w:t>
            </w:r>
          </w:p>
          <w:p>
            <w:pPr>
              <w:pStyle w:val="33"/>
              <w:numPr>
                <w:ilvl w:val="0"/>
                <w:numId w:val="18"/>
              </w:numPr>
            </w:pPr>
            <w:r>
              <w:t xml:space="preserve">Note-2: In this option, the beam(s) used by NCR-Fwd for access link is configured for gNB and NCR by OAM based on implementation. </w:t>
            </w:r>
          </w:p>
          <w:p>
            <w:pPr>
              <w:pStyle w:val="33"/>
              <w:numPr>
                <w:ilvl w:val="1"/>
                <w:numId w:val="18"/>
              </w:numPr>
            </w:pPr>
            <w:r>
              <w:t xml:space="preserve">The beam index in SCI corresponds to the configured beam(s) sequentially. </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rPr>
                <w:rFonts w:ascii="Times New Roman" w:hAnsi="Times New Roman"/>
                <w:bCs/>
                <w:szCs w:val="20"/>
                <w:highlight w:val="green"/>
                <w:lang w:eastAsia="zh-CN"/>
              </w:rPr>
            </w:pPr>
            <w:r>
              <w:rPr>
                <w:rFonts w:ascii="Times New Roman" w:hAnsi="Times New Roman"/>
                <w:bCs/>
                <w:szCs w:val="20"/>
                <w:highlight w:val="green"/>
                <w:lang w:eastAsia="zh-CN"/>
              </w:rPr>
              <w:t>Agreement</w:t>
            </w:r>
          </w:p>
          <w:p>
            <w:pPr>
              <w:rPr>
                <w:rFonts w:ascii="Times New Roman" w:hAnsi="Times New Roman" w:eastAsia="等线"/>
                <w:szCs w:val="20"/>
              </w:rPr>
            </w:pPr>
            <w:r>
              <w:rPr>
                <w:rFonts w:ascii="Times New Roman" w:hAnsi="Times New Roman" w:eastAsia="Calibri"/>
                <w:szCs w:val="20"/>
              </w:rPr>
              <w:t>For each periodic beam indication for access link, one RRC signalling is used with the information defined by the following:</w:t>
            </w:r>
          </w:p>
          <w:p>
            <w:pPr>
              <w:rPr>
                <w:rFonts w:ascii="Times New Roman" w:hAnsi="Times New Roman"/>
                <w:iCs/>
                <w:szCs w:val="20"/>
                <w:lang w:eastAsia="zh-CN"/>
              </w:rPr>
            </w:pPr>
            <w:r>
              <w:rPr>
                <w:rFonts w:ascii="Times New Roman" w:hAnsi="Times New Roman"/>
                <w:iCs/>
                <w:szCs w:val="20"/>
                <w:lang w:eastAsia="zh-CN"/>
              </w:rPr>
              <w:t xml:space="preserve">Option-2: </w:t>
            </w:r>
          </w:p>
          <w:p>
            <w:pPr>
              <w:pStyle w:val="33"/>
              <w:numPr>
                <w:ilvl w:val="0"/>
                <w:numId w:val="19"/>
              </w:numPr>
              <w:rPr>
                <w:iCs/>
                <w:lang w:eastAsia="zh-CN"/>
              </w:rPr>
            </w:pPr>
            <w:r>
              <w:rPr>
                <w:iCs/>
                <w:lang w:eastAsia="zh-CN"/>
              </w:rPr>
              <w:t>A list of X(</w:t>
            </w:r>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r>
              <w:rPr>
                <w:iCs/>
                <w:lang w:eastAsia="zh-CN"/>
              </w:rPr>
              <w:t>) forwarding resource, each is defined as {Beam index, time resource}</w:t>
            </w:r>
          </w:p>
          <w:p>
            <w:pPr>
              <w:pStyle w:val="33"/>
              <w:numPr>
                <w:ilvl w:val="0"/>
                <w:numId w:val="19"/>
              </w:numPr>
              <w:spacing w:after="0"/>
              <w:ind w:left="714" w:hanging="357"/>
              <w:rPr>
                <w:lang w:eastAsia="zh-CN"/>
              </w:rPr>
            </w:pPr>
            <w:r>
              <w:rPr>
                <w:lang w:eastAsia="zh-CN"/>
              </w:rPr>
              <w:t xml:space="preserve">FFS: The value of </w:t>
            </w:r>
            <m:oMath>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Each time resource is defined by {Starting slot defined as the slot offset in one period, starting symbol defined by symbol offset within the slot, duration defined by the number of symbols} with dedicated field.</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periodicity is configured as part of the RRC signaling for periodic beam indication</w:t>
            </w:r>
          </w:p>
          <w:p>
            <w:pPr>
              <w:numPr>
                <w:ilvl w:val="1"/>
                <w:numId w:val="20"/>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periodicity is assumed for all time resource(s) in one periodic beam indication.</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reference SCS is configured as part of the RRC signaling for periodic beam indication</w:t>
            </w:r>
          </w:p>
          <w:p>
            <w:pPr>
              <w:numPr>
                <w:ilvl w:val="1"/>
                <w:numId w:val="20"/>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reference SCS is assumed for all time resource(s) in one periodic beam indication.</w:t>
            </w:r>
          </w:p>
          <w:p>
            <w:pPr>
              <w:rPr>
                <w:rFonts w:ascii="Times New Roman" w:hAnsi="Times New Roman"/>
                <w:szCs w:val="20"/>
                <w:lang w:eastAsia="zh-CN"/>
              </w:rPr>
            </w:pPr>
          </w:p>
          <w:p>
            <w:pPr>
              <w:rPr>
                <w:rFonts w:ascii="Times New Roman" w:hAnsi="Times New Roman"/>
                <w:szCs w:val="20"/>
                <w:lang w:eastAsia="zh-CN"/>
              </w:rPr>
            </w:pP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snapToGrid w:val="0"/>
              <w:rPr>
                <w:rFonts w:ascii="Times New Roman" w:hAnsi="Times New Roman" w:eastAsia="Calibri"/>
                <w:bCs/>
                <w:iCs/>
                <w:szCs w:val="20"/>
              </w:rPr>
            </w:pPr>
            <w:r>
              <w:rPr>
                <w:rFonts w:ascii="Times New Roman" w:hAnsi="Times New Roman" w:eastAsia="Calibri"/>
                <w:bCs/>
                <w:iCs/>
                <w:szCs w:val="20"/>
              </w:rPr>
              <w:t xml:space="preserve">For each aperiodic beam indication for access link, one DCI is used with the information defined by </w:t>
            </w:r>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Option-1: </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are used to indicate the beam information and each field refers to one beam index ; </w:t>
            </w:r>
          </w:p>
          <w:p>
            <w:pPr>
              <w:numPr>
                <w:ilvl w:val="1"/>
                <w:numId w:val="20"/>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The bitwidth of this field is determined by the number of beams used for access link. </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to indicate the time resource;</w:t>
            </w:r>
          </w:p>
          <w:p>
            <w:pPr>
              <w:numPr>
                <w:ilvl w:val="1"/>
                <w:numId w:val="20"/>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A list of time resource is pre-defined by RRC signalling. The bitwidth of this field for time resource indication is determined by the length of list. </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FFS: The value of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w:t>
            </w:r>
          </w:p>
          <w:p>
            <w:pPr>
              <w:numPr>
                <w:ilvl w:val="1"/>
                <w:numId w:val="20"/>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Down-select between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 xml:space="preserve">=1 </m:t>
              </m:r>
            </m:oMath>
            <w:r>
              <w:rPr>
                <w:rFonts w:ascii="Times New Roman" w:hAnsi="Times New Roman"/>
                <w:iCs/>
                <w:szCs w:val="20"/>
                <w:lang w:eastAsia="zh-CN"/>
              </w:rPr>
              <w:t xml:space="preserve">or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w:t>
            </w:r>
          </w:p>
          <w:p>
            <w:pPr>
              <w:numPr>
                <w:ilvl w:val="0"/>
                <w:numId w:val="20"/>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FFS: How to define the association between time indication and beam indication</w:t>
            </w:r>
          </w:p>
          <w:p>
            <w:pPr>
              <w:tabs>
                <w:tab w:val="left" w:pos="1304"/>
                <w:tab w:val="left" w:pos="1440"/>
                <w:tab w:val="left" w:pos="2160"/>
              </w:tabs>
              <w:snapToGrid w:val="0"/>
              <w:rPr>
                <w:rFonts w:hint="default"/>
                <w:sz w:val="20"/>
                <w:highlight w:val="none"/>
                <w:vertAlign w:val="baseline"/>
                <w:lang w:val="en-US" w:eastAsia="zh-CN"/>
              </w:rPr>
            </w:pPr>
            <w:r>
              <w:rPr>
                <w:rFonts w:ascii="Times New Roman" w:hAnsi="Times New Roman"/>
                <w:iCs/>
                <w:szCs w:val="20"/>
                <w:lang w:eastAsia="zh-CN"/>
              </w:rPr>
              <w:t>Each time resource is defined by {Starting slot defined as the slot offset, starting symbol defined by symbol offset within the slot, duration defined by the number of symbols} with dedicated field.</w:t>
            </w:r>
          </w:p>
        </w:tc>
      </w:tr>
    </w:tbl>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2.7. The support of BFD/BFR/RLM for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 </w:t>
      </w:r>
    </w:p>
    <w:p>
      <w:pPr>
        <w:rPr>
          <w:rFonts w:hint="eastAsia" w:eastAsia="宋体"/>
          <w:szCs w:val="20"/>
          <w:highlight w:val="green"/>
          <w:lang w:val="en-US" w:eastAsia="zh-CN"/>
        </w:rPr>
      </w:pPr>
      <w:r>
        <w:rPr>
          <w:rFonts w:hint="eastAsia"/>
          <w:szCs w:val="20"/>
          <w:highlight w:val="green"/>
          <w:lang w:val="en-US" w:eastAsia="zh-CN"/>
        </w:rPr>
        <w:t>RAN1#111 meeting a</w:t>
      </w:r>
      <w:r>
        <w:rPr>
          <w:szCs w:val="20"/>
          <w:highlight w:val="green"/>
        </w:rPr>
        <w:t>greement</w:t>
      </w:r>
      <w:r>
        <w:rPr>
          <w:rFonts w:hint="eastAsia"/>
          <w:szCs w:val="20"/>
          <w:highlight w:val="green"/>
          <w:lang w:val="en-US" w:eastAsia="zh-CN"/>
        </w:rPr>
        <w:t>:</w:t>
      </w:r>
    </w:p>
    <w:p>
      <w:pPr>
        <w:rPr>
          <w:szCs w:val="20"/>
          <w:highlight w:val="none"/>
        </w:rPr>
      </w:pPr>
      <w:r>
        <w:rPr>
          <w:szCs w:val="20"/>
          <w:highlight w:val="none"/>
        </w:rPr>
        <w:t>As optional functionalities for the NCR-MT, at least Rel-15 legacy BFD</w:t>
      </w:r>
      <w:r>
        <w:rPr>
          <w:rFonts w:eastAsia="Yu Mincho"/>
          <w:szCs w:val="20"/>
          <w:highlight w:val="none"/>
          <w:lang w:val="en-US" w:eastAsia="ja-JP"/>
        </w:rPr>
        <w:t>/</w:t>
      </w:r>
      <w:r>
        <w:rPr>
          <w:szCs w:val="20"/>
          <w:highlight w:val="none"/>
        </w:rPr>
        <w:t>BFR/RLM mechanisms are supported</w:t>
      </w:r>
    </w:p>
    <w:p>
      <w:pPr>
        <w:pStyle w:val="33"/>
        <w:numPr>
          <w:ilvl w:val="0"/>
          <w:numId w:val="15"/>
        </w:numPr>
        <w:rPr>
          <w:highlight w:val="none"/>
        </w:rPr>
      </w:pPr>
      <w:r>
        <w:rPr>
          <w:highlight w:val="none"/>
        </w:rPr>
        <w:t>FFS: The behavior of NCR-Fwd when BFR/RLF happen in C link.</w:t>
      </w:r>
    </w:p>
    <w:p>
      <w:pPr>
        <w:rPr>
          <w:rFonts w:hint="default"/>
          <w:sz w:val="20"/>
          <w:highlight w:val="none"/>
          <w:lang w:val="en-US" w:eastAsia="zh-CN"/>
        </w:rPr>
      </w:pPr>
      <w:r>
        <w:rPr>
          <w:rFonts w:hint="eastAsia"/>
          <w:sz w:val="20"/>
          <w:highlight w:val="none"/>
          <w:lang w:val="en-US" w:eastAsia="zh-CN"/>
        </w:rPr>
        <w:t>In last RAN4 meeting, RAN1 reached the above agreement on BFD/BFR/RLM for NCR-MT. In other words, from our understanding, this Rel-15 functionality should be supported for NCR-MT. Compared with Rel-16 IAB-MT, RLM/BFD/BFR requirement was defined corresponding in clause 12.3 of TS38.174 without considering DRX configuration. It is also reasonable to define the RLM/BFD/RLM requirement For NCR-MT. In addition, from our understanding, DRX configuration for NCR-MT could be still allowed in practice which is slightly different from IAB-MT for backhaul link transmission.</w:t>
      </w:r>
    </w:p>
    <w:p>
      <w:pPr>
        <w:autoSpaceDE/>
        <w:autoSpaceDN/>
        <w:adjustRightInd/>
        <w:snapToGrid/>
        <w:spacing w:before="0" w:beforeLines="-2147483648" w:after="0" w:afterLines="-2147483648" w:line="240" w:lineRule="auto"/>
        <w:jc w:val="left"/>
        <w:rPr>
          <w:rFonts w:hint="default" w:eastAsia="宋体"/>
          <w:sz w:val="20"/>
          <w:highlight w:val="none"/>
          <w:lang w:val="en-US" w:eastAsia="zh-CN"/>
        </w:rPr>
      </w:pPr>
      <w:r>
        <w:rPr>
          <w:rFonts w:hint="eastAsia" w:asciiTheme="minorBidi" w:hAnsiTheme="minorBidi" w:cstheme="minorBidi"/>
          <w:b/>
          <w:bCs w:val="0"/>
          <w:sz w:val="20"/>
          <w:szCs w:val="20"/>
          <w:lang w:val="en-US" w:eastAsia="zh-CN"/>
        </w:rPr>
        <w:t xml:space="preserve">Proposal 13: </w:t>
      </w:r>
      <w:r>
        <w:rPr>
          <w:rFonts w:hint="eastAsia"/>
          <w:sz w:val="20"/>
          <w:highlight w:val="none"/>
          <w:lang w:val="en-US" w:eastAsia="zh-CN"/>
        </w:rPr>
        <w:t xml:space="preserve">to define the BFD/BFR/RLM requirement for NCR-MT and reuse the existing IAB-MT RRM requirement in T38.174 clause 12.3 as baseline and further consider the DRX configuration for NCR-MT.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2.8. The support of CA/DC for NCR-MT</w:t>
      </w:r>
    </w:p>
    <w:p>
      <w:pPr>
        <w:autoSpaceDE/>
        <w:autoSpaceDN/>
        <w:adjustRightInd/>
        <w:snapToGrid/>
        <w:spacing w:before="0" w:beforeLines="-2147483648" w:after="0" w:afterLines="-2147483648" w:line="240" w:lineRule="auto"/>
        <w:jc w:val="left"/>
        <w:rPr>
          <w:rFonts w:hint="default"/>
          <w:lang w:val="en-US" w:eastAsia="zh-CN"/>
        </w:rPr>
      </w:pPr>
      <w:r>
        <w:rPr>
          <w:rFonts w:hint="default"/>
          <w:lang w:val="en-US" w:eastAsia="zh-CN"/>
        </w:rPr>
        <w:t>For Rel-18 NC</w:t>
      </w:r>
      <w:r>
        <w:rPr>
          <w:rFonts w:hint="eastAsia"/>
          <w:lang w:val="en-US" w:eastAsia="zh-CN"/>
        </w:rPr>
        <w:t>R</w:t>
      </w:r>
      <w:r>
        <w:rPr>
          <w:rFonts w:hint="default"/>
          <w:lang w:val="en-US" w:eastAsia="zh-CN"/>
        </w:rPr>
        <w:t>-M</w:t>
      </w:r>
      <w:r>
        <w:rPr>
          <w:rFonts w:hint="eastAsia"/>
          <w:lang w:val="en-US" w:eastAsia="zh-CN"/>
        </w:rPr>
        <w:t>T</w:t>
      </w:r>
      <w:r>
        <w:rPr>
          <w:rFonts w:hint="default"/>
          <w:lang w:val="en-US" w:eastAsia="zh-CN"/>
        </w:rPr>
        <w:t>,</w:t>
      </w:r>
      <w:r>
        <w:rPr>
          <w:rFonts w:hint="eastAsia"/>
          <w:lang w:val="en-US" w:eastAsia="zh-CN"/>
        </w:rPr>
        <w:t xml:space="preserve"> there are no conclusion for the support of CA/DC for NCR-MT in other WGs, however from our understanding, </w:t>
      </w:r>
      <w:r>
        <w:rPr>
          <w:rFonts w:hint="default"/>
          <w:lang w:val="en-US" w:eastAsia="zh-CN"/>
        </w:rPr>
        <w:t>single carrier</w:t>
      </w:r>
      <w:r>
        <w:rPr>
          <w:rFonts w:hint="eastAsia"/>
          <w:lang w:val="en-US" w:eastAsia="zh-CN"/>
        </w:rPr>
        <w:t xml:space="preserve"> operation</w:t>
      </w:r>
      <w:r>
        <w:rPr>
          <w:rFonts w:hint="default"/>
          <w:lang w:val="en-US" w:eastAsia="zh-CN"/>
        </w:rPr>
        <w:t xml:space="preserve"> should be sufficient for</w:t>
      </w:r>
      <w:r>
        <w:rPr>
          <w:rFonts w:hint="eastAsia"/>
          <w:lang w:val="en-US" w:eastAsia="zh-CN"/>
        </w:rPr>
        <w:t xml:space="preserve"> NCR-MT to</w:t>
      </w:r>
      <w:r>
        <w:rPr>
          <w:rFonts w:hint="default"/>
          <w:lang w:val="en-US" w:eastAsia="zh-CN"/>
        </w:rPr>
        <w:t xml:space="preserve"> the </w:t>
      </w:r>
      <w:r>
        <w:rPr>
          <w:rFonts w:hint="eastAsia"/>
          <w:lang w:val="en-US" w:eastAsia="zh-CN"/>
        </w:rPr>
        <w:t xml:space="preserve">receive </w:t>
      </w:r>
      <w:r>
        <w:rPr>
          <w:rFonts w:hint="default"/>
          <w:lang w:val="en-US" w:eastAsia="zh-CN"/>
        </w:rPr>
        <w:t xml:space="preserve">of the </w:t>
      </w:r>
      <w:r>
        <w:rPr>
          <w:rFonts w:hint="eastAsia"/>
          <w:lang w:val="en-US" w:eastAsia="zh-CN"/>
        </w:rPr>
        <w:t>side control</w:t>
      </w:r>
      <w:r>
        <w:rPr>
          <w:rFonts w:hint="default"/>
          <w:lang w:val="en-US" w:eastAsia="zh-CN"/>
        </w:rPr>
        <w:t xml:space="preserve"> information defined by RAN1/2/3</w:t>
      </w:r>
      <w:r>
        <w:rPr>
          <w:rFonts w:hint="eastAsia"/>
          <w:lang w:val="en-US" w:eastAsia="zh-CN"/>
        </w:rPr>
        <w:t xml:space="preserve"> and provide some necessary feedback to donor gNB</w:t>
      </w:r>
      <w:r>
        <w:rPr>
          <w:rFonts w:hint="default"/>
          <w:lang w:val="en-US" w:eastAsia="zh-CN"/>
        </w:rPr>
        <w:t xml:space="preserve">. </w:t>
      </w:r>
      <w:r>
        <w:rPr>
          <w:rFonts w:hint="eastAsia"/>
          <w:lang w:val="en-US" w:eastAsia="zh-CN"/>
        </w:rPr>
        <w:t>In short, we d</w:t>
      </w:r>
      <w:r>
        <w:rPr>
          <w:rFonts w:hint="default"/>
          <w:lang w:val="en-US" w:eastAsia="zh-CN"/>
        </w:rPr>
        <w:t>on’t see the strong necessity to</w:t>
      </w:r>
      <w:r>
        <w:rPr>
          <w:rFonts w:hint="eastAsia"/>
          <w:lang w:val="en-US" w:eastAsia="zh-CN"/>
        </w:rPr>
        <w:t xml:space="preserve"> support the CA and DC, therefore we don</w:t>
      </w:r>
      <w:r>
        <w:rPr>
          <w:rFonts w:hint="default"/>
          <w:lang w:val="en-US" w:eastAsia="zh-CN"/>
        </w:rPr>
        <w:t>’</w:t>
      </w:r>
      <w:r>
        <w:rPr>
          <w:rFonts w:hint="eastAsia"/>
          <w:lang w:val="en-US" w:eastAsia="zh-CN"/>
        </w:rPr>
        <w:t>t need to define the following RRM requirements for NCR-MT</w:t>
      </w:r>
      <w:r>
        <w:rPr>
          <w:rFonts w:hint="default"/>
          <w:lang w:val="en-US" w:eastAsia="zh-CN"/>
        </w:rPr>
        <w:t>.</w:t>
      </w:r>
    </w:p>
    <w:tbl>
      <w:tblPr>
        <w:tblStyle w:val="23"/>
        <w:tblW w:w="94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975"/>
        <w:gridCol w:w="2835"/>
        <w:gridCol w:w="1276"/>
        <w:gridCol w:w="3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Gulim" w:cs="Times New Roman"/>
                <w:sz w:val="16"/>
                <w:szCs w:val="16"/>
                <w:lang w:val="en-US"/>
              </w:rPr>
            </w:pPr>
            <w:r>
              <w:rPr>
                <w:rFonts w:hint="default" w:ascii="Times New Roman" w:hAnsi="Times New Roman" w:cs="Times New Roman"/>
                <w:b/>
                <w:bCs/>
                <w:sz w:val="16"/>
                <w:szCs w:val="16"/>
              </w:rPr>
              <w:t>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b/>
                <w:bCs/>
                <w:sz w:val="16"/>
                <w:szCs w:val="16"/>
              </w:rPr>
              <w:t>Detailed RRM Scope</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sv-SE"/>
              </w:rPr>
            </w:pPr>
            <w:r>
              <w:rPr>
                <w:rFonts w:hint="default" w:ascii="Times New Roman" w:hAnsi="Times New Roman" w:cs="Times New Roman"/>
                <w:b/>
                <w:bCs/>
                <w:sz w:val="16"/>
                <w:szCs w:val="16"/>
                <w:lang w:val="sv-SE"/>
              </w:rPr>
              <w:t>Is</w:t>
            </w:r>
            <w:r>
              <w:rPr>
                <w:rFonts w:hint="default" w:ascii="Times New Roman" w:hAnsi="Times New Roman" w:cs="Times New Roman"/>
                <w:b/>
                <w:bCs/>
                <w:sz w:val="16"/>
                <w:szCs w:val="16"/>
                <w:lang w:val="en-US" w:eastAsia="zh-CN"/>
              </w:rPr>
              <w:t xml:space="preserve"> </w:t>
            </w:r>
            <w:r>
              <w:rPr>
                <w:rFonts w:hint="default" w:ascii="Times New Roman" w:hAnsi="Times New Roman" w:cs="Times New Roman"/>
                <w:b/>
                <w:bCs/>
                <w:sz w:val="16"/>
                <w:szCs w:val="16"/>
                <w:lang w:val="sv-SE"/>
              </w:rPr>
              <w:t>requirement needed for</w:t>
            </w:r>
            <w:r>
              <w:rPr>
                <w:rFonts w:hint="default" w:ascii="Times New Roman" w:hAnsi="Times New Roman" w:eastAsia="宋体" w:cs="Times New Roman"/>
                <w:b/>
                <w:bCs/>
                <w:sz w:val="16"/>
                <w:szCs w:val="16"/>
                <w:lang w:val="en-US" w:eastAsia="zh-CN"/>
              </w:rPr>
              <w:t xml:space="preserve"> Rel-18 NCR- </w:t>
            </w:r>
            <w:r>
              <w:rPr>
                <w:rFonts w:hint="default" w:ascii="Times New Roman" w:hAnsi="Times New Roman" w:cs="Times New Roman"/>
                <w:b/>
                <w:bCs/>
                <w:sz w:val="16"/>
                <w:szCs w:val="16"/>
                <w:lang w:val="sv-SE"/>
              </w:rPr>
              <w:t xml:space="preserve">MT? </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b/>
                <w:bCs/>
                <w:sz w:val="16"/>
                <w:szCs w:val="16"/>
                <w:lang w:val="en-US" w:eastAsia="zh-CN"/>
              </w:rPr>
            </w:pPr>
            <w:r>
              <w:rPr>
                <w:rFonts w:hint="default" w:ascii="Times New Roman" w:hAnsi="Times New Roman" w:cs="Times New Roman"/>
                <w:b/>
                <w:bCs/>
                <w:sz w:val="16"/>
                <w:szCs w:val="16"/>
                <w:lang w:val="sv-SE"/>
              </w:rPr>
              <w:t xml:space="preserve">Technical </w:t>
            </w:r>
            <w:r>
              <w:rPr>
                <w:rFonts w:hint="default" w:ascii="Times New Roman" w:hAnsi="Times New Roman" w:cs="Times New Roman"/>
                <w:b/>
                <w:bCs/>
                <w:sz w:val="16"/>
                <w:szCs w:val="16"/>
                <w:lang w:val="en-US" w:eastAsia="zh-CN"/>
              </w:rPr>
              <w:t>justifications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SCell activation/deactivation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For Rel-18 NC</w:t>
            </w:r>
            <w:r>
              <w:rPr>
                <w:rFonts w:hint="eastAsia" w:ascii="Times New Roman" w:hAnsi="Times New Roman" w:cs="Times New Roman"/>
                <w:sz w:val="16"/>
                <w:szCs w:val="16"/>
                <w:lang w:val="en-US" w:eastAsia="zh-CN"/>
              </w:rPr>
              <w:t>R</w:t>
            </w:r>
            <w:r>
              <w:rPr>
                <w:rFonts w:hint="default" w:ascii="Times New Roman" w:hAnsi="Times New Roman" w:eastAsia="宋体" w:cs="Times New Roman"/>
                <w:sz w:val="16"/>
                <w:szCs w:val="16"/>
                <w:lang w:val="en-US" w:eastAsia="zh-CN"/>
              </w:rPr>
              <w:t>-M</w:t>
            </w:r>
            <w:r>
              <w:rPr>
                <w:rFonts w:hint="eastAsia" w:ascii="Times New Roman" w:hAnsi="Times New Roman" w:cs="Times New Roman"/>
                <w:sz w:val="16"/>
                <w:szCs w:val="16"/>
                <w:lang w:val="en-US" w:eastAsia="zh-CN"/>
              </w:rPr>
              <w:t>T</w:t>
            </w:r>
            <w:r>
              <w:rPr>
                <w:rFonts w:hint="default" w:ascii="Times New Roman" w:hAnsi="Times New Roman" w:eastAsia="宋体" w:cs="Times New Roman"/>
                <w:sz w:val="16"/>
                <w:szCs w:val="16"/>
                <w:lang w:val="en-US" w:eastAsia="zh-CN"/>
              </w:rPr>
              <w:t>,</w:t>
            </w:r>
            <w:r>
              <w:rPr>
                <w:rFonts w:hint="eastAsia"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lang w:val="en-US" w:eastAsia="zh-CN"/>
              </w:rPr>
              <w:t>single carrier</w:t>
            </w:r>
            <w:r>
              <w:rPr>
                <w:rFonts w:hint="eastAsia" w:ascii="Times New Roman" w:hAnsi="Times New Roman" w:cs="Times New Roman"/>
                <w:sz w:val="16"/>
                <w:szCs w:val="16"/>
                <w:lang w:val="en-US" w:eastAsia="zh-CN"/>
              </w:rPr>
              <w:t xml:space="preserve"> operation</w:t>
            </w:r>
            <w:r>
              <w:rPr>
                <w:rFonts w:hint="default" w:ascii="Times New Roman" w:hAnsi="Times New Roman" w:eastAsia="宋体" w:cs="Times New Roman"/>
                <w:sz w:val="16"/>
                <w:szCs w:val="16"/>
                <w:lang w:val="en-US" w:eastAsia="zh-CN"/>
              </w:rPr>
              <w:t xml:space="preserve"> should be sufficient for the </w:t>
            </w:r>
            <w:r>
              <w:rPr>
                <w:rFonts w:hint="eastAsia" w:ascii="Times New Roman" w:hAnsi="Times New Roman" w:cs="Times New Roman"/>
                <w:sz w:val="16"/>
                <w:szCs w:val="16"/>
                <w:lang w:val="en-US" w:eastAsia="zh-CN"/>
              </w:rPr>
              <w:t xml:space="preserve">reception </w:t>
            </w:r>
            <w:r>
              <w:rPr>
                <w:rFonts w:hint="default" w:ascii="Times New Roman" w:hAnsi="Times New Roman" w:eastAsia="宋体" w:cs="Times New Roman"/>
                <w:sz w:val="16"/>
                <w:szCs w:val="16"/>
                <w:lang w:val="en-US" w:eastAsia="zh-CN"/>
              </w:rPr>
              <w:t xml:space="preserve">of the </w:t>
            </w:r>
            <w:r>
              <w:rPr>
                <w:rFonts w:hint="eastAsia" w:ascii="Times New Roman" w:hAnsi="Times New Roman" w:cs="Times New Roman"/>
                <w:sz w:val="16"/>
                <w:szCs w:val="16"/>
                <w:lang w:val="en-US" w:eastAsia="zh-CN"/>
              </w:rPr>
              <w:t>side control</w:t>
            </w:r>
            <w:r>
              <w:rPr>
                <w:rFonts w:hint="default" w:ascii="Times New Roman" w:hAnsi="Times New Roman" w:eastAsia="宋体" w:cs="Times New Roman"/>
                <w:sz w:val="16"/>
                <w:szCs w:val="16"/>
                <w:lang w:val="en-US" w:eastAsia="zh-CN"/>
              </w:rPr>
              <w:t xml:space="preserve"> information defined by RAN1/2/3. Don’t see the strong necessity to have Scell configuration and activation.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Interruptions related to SCells addition, release, activation, deactivation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Interruptions on serving cells due to any of the addition, release, activation, or deactivation procedures </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Similar reason as Scell activation/deactivation</w:t>
            </w:r>
            <w:r>
              <w:rPr>
                <w:rFonts w:hint="eastAsia" w:ascii="Times New Roman" w:hAnsi="Times New Roman" w:cs="Times New Roman"/>
                <w:sz w:val="16"/>
                <w:szCs w:val="16"/>
                <w:lang w:val="en-US" w:eastAsia="zh-CN"/>
              </w:rPr>
              <w:t xml:space="preserve"> of CA.</w:t>
            </w:r>
            <w:r>
              <w:rPr>
                <w:rFonts w:hint="default" w:ascii="Times New Roman" w:hAnsi="Times New Roman" w:cs="Times New Roman"/>
                <w:sz w:val="16"/>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PSCell addition/release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NR-DC is not expected to be supported for Rel-18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MT timing related requirements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MT MRTD/MTTD</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No</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MT MRTD and MTTD is not applicable for NCR-MT.</w:t>
            </w:r>
          </w:p>
          <w:p>
            <w:pPr>
              <w:spacing w:after="0"/>
              <w:rPr>
                <w:rFonts w:hint="default" w:ascii="Times New Roman" w:hAnsi="Times New Roman" w:eastAsia="宋体" w:cs="Times New Roman"/>
                <w:sz w:val="16"/>
                <w:szCs w:val="16"/>
                <w:lang w:val="en-US" w:eastAsia="zh-CN"/>
              </w:rPr>
            </w:pPr>
          </w:p>
        </w:tc>
      </w:tr>
    </w:tbl>
    <w:p>
      <w:pPr>
        <w:autoSpaceDE/>
        <w:autoSpaceDN/>
        <w:adjustRightInd/>
        <w:snapToGrid/>
        <w:spacing w:before="0" w:beforeLines="-2147483648" w:after="0" w:afterLines="-2147483648" w:line="240" w:lineRule="auto"/>
        <w:jc w:val="left"/>
        <w:rPr>
          <w:rFonts w:hint="default"/>
          <w:lang w:val="en-US" w:eastAsia="zh-CN"/>
        </w:rPr>
      </w:pPr>
      <w:r>
        <w:rPr>
          <w:rFonts w:hint="default"/>
          <w:lang w:val="en-US" w:eastAsia="zh-CN"/>
        </w:rPr>
        <w:t xml:space="preserve"> </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14</w:t>
      </w:r>
      <w:r>
        <w:rPr>
          <w:rFonts w:hint="eastAsia"/>
          <w:lang w:val="en-US" w:eastAsia="zh-CN"/>
        </w:rPr>
        <w:t>: don</w:t>
      </w:r>
      <w:r>
        <w:rPr>
          <w:rFonts w:hint="default"/>
          <w:lang w:val="en-US" w:eastAsia="zh-CN"/>
        </w:rPr>
        <w:t>’</w:t>
      </w:r>
      <w:r>
        <w:rPr>
          <w:rFonts w:hint="eastAsia"/>
          <w:lang w:val="en-US" w:eastAsia="zh-CN"/>
        </w:rPr>
        <w:t xml:space="preserve">t define the RRM requirement with related CA/DC for NCR-MT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2.9. The applicability of RRM requirements for NCR-MT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During the last RAN4 meeting, due to the limited time for online discussions, the applicability of RRM requirement for NCR-MT is not touched yet,, however based on the discussion in Rel-16 IAB-MT RRM, it seems that it should be clarified among companies. From our understanding, it should be okay to apply the RRM requirement only to local area NCR-MT similar as Rel-16 IAB-MT.</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lang w:val="en-US" w:eastAsia="zh-CN"/>
        </w:rPr>
        <w:t>Proposal 15</w:t>
      </w:r>
      <w:r>
        <w:rPr>
          <w:rFonts w:hint="eastAsia"/>
          <w:lang w:val="en-US" w:eastAsia="zh-CN"/>
        </w:rPr>
        <w:t xml:space="preserve">: to apply the RRM requirement for local area NCR-MT only.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this contribution, we want to share further views on NCR-MT from the RRM perspective and proposals are made as following:</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not to define the cell reselection requirement for NCR-MT in Rel-18 similar as Rel-16 IAB-MT.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2:</w:t>
      </w:r>
      <w:r>
        <w:rPr>
          <w:rFonts w:hint="eastAsia"/>
          <w:sz w:val="20"/>
          <w:highlight w:val="none"/>
          <w:lang w:val="en-US" w:eastAsia="zh-CN"/>
        </w:rPr>
        <w:t xml:space="preserve"> not to define the handover requirement for NCR-MT in Rel-18.</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3:</w:t>
      </w:r>
      <w:r>
        <w:rPr>
          <w:rFonts w:hint="eastAsia"/>
          <w:sz w:val="20"/>
          <w:highlight w:val="none"/>
          <w:lang w:val="en-US" w:eastAsia="zh-CN"/>
        </w:rPr>
        <w:t xml:space="preserve"> to define the RRC re-establishment requirement for NCR-MT in Rel-18 and reuse the existing IAB-MT RRM requirement from TS38.174 clause 12.1.1.1 as baseline.</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sz w:val="20"/>
          <w:highlight w:val="none"/>
          <w:lang w:val="en-US" w:eastAsia="zh-CN"/>
        </w:rPr>
        <w:t>Proposal 4:</w:t>
      </w:r>
      <w:r>
        <w:rPr>
          <w:rFonts w:hint="eastAsia"/>
          <w:sz w:val="20"/>
          <w:highlight w:val="none"/>
          <w:lang w:val="en-US" w:eastAsia="zh-CN"/>
        </w:rPr>
        <w:t xml:space="preserve"> to define the 4 step RACH requirement for NCR-MT and reuse the existing UE requirement in clause 6.2.2 of TS38.133.</w:t>
      </w:r>
    </w:p>
    <w:p>
      <w:pPr>
        <w:autoSpaceDE/>
        <w:autoSpaceDN/>
        <w:adjustRightInd/>
        <w:snapToGrid/>
        <w:spacing w:before="0" w:beforeLines="-2147483648" w:after="0" w:afterLines="-2147483648" w:line="240" w:lineRule="auto"/>
        <w:jc w:val="left"/>
        <w:rPr>
          <w:rFonts w:hint="eastAsia" w:eastAsia="宋体"/>
          <w:sz w:val="20"/>
          <w:highlight w:val="none"/>
          <w:lang w:val="en-US" w:eastAsia="zh-CN"/>
        </w:rPr>
      </w:pPr>
      <w:r>
        <w:rPr>
          <w:rFonts w:hint="eastAsia"/>
          <w:b/>
          <w:bCs/>
          <w:sz w:val="20"/>
          <w:highlight w:val="none"/>
          <w:lang w:val="en-US" w:eastAsia="zh-CN"/>
        </w:rPr>
        <w:t>Proposal 5:</w:t>
      </w:r>
      <w:r>
        <w:rPr>
          <w:rFonts w:hint="eastAsia"/>
          <w:sz w:val="20"/>
          <w:highlight w:val="none"/>
          <w:lang w:val="en-US" w:eastAsia="zh-CN"/>
        </w:rPr>
        <w:t xml:space="preserve"> to define the </w:t>
      </w:r>
      <w:r>
        <w:rPr>
          <w:rFonts w:hint="default"/>
          <w:sz w:val="20"/>
          <w:highlight w:val="none"/>
          <w:lang w:val="en-US" w:eastAsia="zh-CN"/>
        </w:rPr>
        <w:t>RRC release with redirection</w:t>
      </w:r>
      <w:r>
        <w:rPr>
          <w:rFonts w:hint="eastAsia"/>
          <w:sz w:val="20"/>
          <w:highlight w:val="none"/>
          <w:lang w:val="en-US" w:eastAsia="zh-CN"/>
        </w:rPr>
        <w:t xml:space="preserve"> requirement for NCR-MT and reuse the existing IAB-MT RRM requirement in T38.174 clause </w:t>
      </w:r>
      <w:r>
        <w:t>12.1.1.3</w:t>
      </w:r>
      <w:r>
        <w:rPr>
          <w:rFonts w:hint="eastAsia"/>
          <w:lang w:val="en-US" w:eastAsia="zh-CN"/>
        </w:rPr>
        <w:t>.</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6: </w:t>
      </w:r>
      <w:r>
        <w:rPr>
          <w:rFonts w:hint="eastAsia" w:asciiTheme="minorBidi" w:hAnsiTheme="minorBidi" w:cstheme="minorBidi"/>
          <w:b w:val="0"/>
          <w:bCs/>
          <w:sz w:val="20"/>
          <w:szCs w:val="20"/>
          <w:lang w:val="en-US" w:eastAsia="zh-CN"/>
        </w:rPr>
        <w:t xml:space="preserve">to define the initial transmit timing requirement Te for NCR-MT and reuse the Te requirement defined for IAB-MT in Rel-16. </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7: </w:t>
      </w:r>
      <w:r>
        <w:rPr>
          <w:rFonts w:hint="eastAsia" w:asciiTheme="minorBidi" w:hAnsiTheme="minorBidi" w:cstheme="minorBidi"/>
          <w:b w:val="0"/>
          <w:bCs/>
          <w:sz w:val="20"/>
          <w:szCs w:val="20"/>
          <w:lang w:val="en-US" w:eastAsia="zh-CN"/>
        </w:rPr>
        <w:t>to define the gradual timing adjustment requirement Tp and Tq for NCR-MT and reuse the requirement defined for IAB-MT in Rel-16.</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8:</w:t>
      </w:r>
      <w:r>
        <w:rPr>
          <w:rFonts w:hint="eastAsia" w:asciiTheme="minorBidi" w:hAnsiTheme="minorBidi" w:cstheme="minorBidi"/>
          <w:bCs/>
          <w:sz w:val="20"/>
          <w:szCs w:val="20"/>
          <w:lang w:val="en-US" w:eastAsia="zh-CN"/>
        </w:rPr>
        <w:t xml:space="preserve"> </w:t>
      </w:r>
      <w:r>
        <w:rPr>
          <w:rFonts w:hint="eastAsia"/>
          <w:sz w:val="22"/>
          <w:lang w:val="en-US" w:eastAsia="zh-CN"/>
        </w:rPr>
        <w:t xml:space="preserve">to define the timer accuracy requirement for NCR-MT and reuse the requirement </w:t>
      </w:r>
      <w:r>
        <w:rPr>
          <w:rFonts w:hint="eastAsia" w:asciiTheme="minorBidi" w:hAnsiTheme="minorBidi" w:cstheme="minorBidi"/>
          <w:bCs/>
          <w:sz w:val="20"/>
          <w:szCs w:val="20"/>
          <w:lang w:val="en-US" w:eastAsia="zh-CN"/>
        </w:rPr>
        <w:t>in clause 7.2.1 of TS38.133.</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9</w:t>
      </w:r>
      <w:r>
        <w:rPr>
          <w:rFonts w:hint="eastAsia" w:asciiTheme="minorBidi" w:hAnsiTheme="minorBidi" w:cstheme="minorBidi"/>
          <w:bCs/>
          <w:sz w:val="20"/>
          <w:szCs w:val="20"/>
          <w:lang w:val="en-US" w:eastAsia="zh-CN"/>
        </w:rPr>
        <w:t>: to define TA adjustment accuracy requirement for NCR-MT and reuse the same requirement as Rel-16 IAB-MT.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10</w:t>
      </w:r>
      <w:r>
        <w:rPr>
          <w:rFonts w:hint="eastAsia" w:asciiTheme="minorBidi" w:hAnsiTheme="minorBidi" w:cstheme="minorBidi"/>
          <w:bCs/>
          <w:sz w:val="20"/>
          <w:szCs w:val="20"/>
          <w:lang w:val="en-US" w:eastAsia="zh-CN"/>
        </w:rPr>
        <w:t>: not to define the active BWP switching requirement for NCR-MT in Rel-18.</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11</w:t>
      </w:r>
      <w:r>
        <w:rPr>
          <w:rFonts w:hint="eastAsia" w:asciiTheme="minorBidi" w:hAnsiTheme="minorBidi" w:cstheme="minorBidi"/>
          <w:bCs/>
          <w:sz w:val="20"/>
          <w:szCs w:val="20"/>
          <w:lang w:val="en-US" w:eastAsia="zh-CN"/>
        </w:rPr>
        <w:t>: not to define the active TCI switching requirements for NCR-MT in Rel-18.</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12: </w:t>
      </w:r>
      <w:r>
        <w:rPr>
          <w:rFonts w:hint="eastAsia" w:asciiTheme="minorBidi" w:hAnsiTheme="minorBidi" w:cstheme="minorBidi"/>
          <w:b w:val="0"/>
          <w:bCs/>
          <w:sz w:val="20"/>
          <w:szCs w:val="20"/>
          <w:lang w:val="en-US" w:eastAsia="zh-CN"/>
        </w:rPr>
        <w:t>not to define the RRM requirement for NCR-MT dynamic beam indication on the access link.</w:t>
      </w:r>
    </w:p>
    <w:p>
      <w:pPr>
        <w:autoSpaceDE/>
        <w:autoSpaceDN/>
        <w:adjustRightInd/>
        <w:snapToGrid/>
        <w:spacing w:before="0" w:beforeLines="-2147483648" w:after="0" w:afterLines="-2147483648" w:line="240" w:lineRule="auto"/>
        <w:jc w:val="left"/>
        <w:rPr>
          <w:rFonts w:hint="default" w:eastAsia="宋体"/>
          <w:sz w:val="20"/>
          <w:highlight w:val="none"/>
          <w:lang w:val="en-US" w:eastAsia="zh-CN"/>
        </w:rPr>
      </w:pPr>
      <w:r>
        <w:rPr>
          <w:rFonts w:hint="eastAsia" w:asciiTheme="minorBidi" w:hAnsiTheme="minorBidi" w:cstheme="minorBidi"/>
          <w:b/>
          <w:bCs w:val="0"/>
          <w:sz w:val="20"/>
          <w:szCs w:val="20"/>
          <w:lang w:val="en-US" w:eastAsia="zh-CN"/>
        </w:rPr>
        <w:t xml:space="preserve">Proposal 13: </w:t>
      </w:r>
      <w:r>
        <w:rPr>
          <w:rFonts w:hint="eastAsia"/>
          <w:sz w:val="20"/>
          <w:highlight w:val="none"/>
          <w:lang w:val="en-US" w:eastAsia="zh-CN"/>
        </w:rPr>
        <w:t xml:space="preserve">to define the BFD/BFR/RLM requirement for NCR-MT and reuse the existing IAB-MT RRM requirement in T38.174 clause 12.3 as baseline and further consider the DRX configuration for NCR-MT. </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lang w:val="en-US" w:eastAsia="zh-CN"/>
        </w:rPr>
        <w:t>Proposal 14</w:t>
      </w:r>
      <w:r>
        <w:rPr>
          <w:rFonts w:hint="eastAsia"/>
          <w:lang w:val="en-US" w:eastAsia="zh-CN"/>
        </w:rPr>
        <w:t>: don</w:t>
      </w:r>
      <w:r>
        <w:rPr>
          <w:rFonts w:hint="default"/>
          <w:lang w:val="en-US" w:eastAsia="zh-CN"/>
        </w:rPr>
        <w:t>’</w:t>
      </w:r>
      <w:r>
        <w:rPr>
          <w:rFonts w:hint="eastAsia"/>
          <w:lang w:val="en-US" w:eastAsia="zh-CN"/>
        </w:rPr>
        <w:t xml:space="preserve">t define the RRM requirement with related CA/DC for NCR-MT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lang w:val="en-US" w:eastAsia="zh-CN"/>
        </w:rPr>
        <w:t>Proposal 15</w:t>
      </w:r>
      <w:r>
        <w:rPr>
          <w:rFonts w:hint="eastAsia"/>
          <w:lang w:val="en-US" w:eastAsia="zh-CN"/>
        </w:rPr>
        <w:t xml:space="preserve">: to apply the RRM requirement for local area NCR-MT only.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1"/>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21"/>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numPr>
          <w:ilvl w:val="0"/>
          <w:numId w:val="21"/>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pStyle w:val="52"/>
        <w:numPr>
          <w:ilvl w:val="0"/>
          <w:numId w:val="21"/>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R4-2217471,WF on NCR RF requirements, ZTE, approved.</w:t>
      </w:r>
    </w:p>
    <w:p>
      <w:pPr>
        <w:pStyle w:val="52"/>
        <w:numPr>
          <w:ilvl w:val="0"/>
          <w:numId w:val="21"/>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R4-2220708</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WF on NR Network-controlled Repeaters RRM requirements, ZTE</w:t>
      </w:r>
    </w:p>
    <w:p>
      <w:pPr>
        <w:pStyle w:val="52"/>
        <w:numPr>
          <w:ilvl w:val="0"/>
          <w:numId w:val="21"/>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R4-2220076</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Topic summary for [105][230] NR_netcon_repeater_RRM</w:t>
      </w:r>
    </w:p>
    <w:p>
      <w:pPr>
        <w:pStyle w:val="52"/>
        <w:numPr>
          <w:ilvl w:val="0"/>
          <w:numId w:val="21"/>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R4-2219845,Discussion on RRM impacts for NR network-controlled repeaters, Huawei.</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autoSpaceDE/>
        <w:autoSpaceDN/>
        <w:adjustRightInd/>
        <w:snapToGrid/>
        <w:spacing w:before="0" w:beforeLines="-2147483648" w:after="0" w:afterLines="-2147483648" w:line="240" w:lineRule="auto"/>
        <w:jc w:val="center"/>
        <w:rPr>
          <w:rFonts w:hint="default"/>
          <w:b/>
          <w:bCs/>
          <w:sz w:val="20"/>
          <w:highlight w:val="none"/>
          <w:lang w:val="en-US" w:eastAsia="zh-CN"/>
        </w:rPr>
      </w:pPr>
      <w:r>
        <w:rPr>
          <w:rFonts w:hint="eastAsia"/>
          <w:b/>
          <w:bCs/>
          <w:sz w:val="20"/>
          <w:highlight w:val="none"/>
          <w:lang w:val="en-US" w:eastAsia="zh-CN"/>
        </w:rPr>
        <w:t>Table 1. Technical justification for RRM requirement of local area NCR-MT</w:t>
      </w:r>
    </w:p>
    <w:tbl>
      <w:tblPr>
        <w:tblStyle w:val="23"/>
        <w:tblW w:w="94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975"/>
        <w:gridCol w:w="2835"/>
        <w:gridCol w:w="1276"/>
        <w:gridCol w:w="3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Gulim" w:cs="Times New Roman"/>
                <w:sz w:val="16"/>
                <w:szCs w:val="16"/>
                <w:lang w:val="en-US"/>
              </w:rPr>
            </w:pPr>
            <w:r>
              <w:rPr>
                <w:rFonts w:hint="default" w:ascii="Times New Roman" w:hAnsi="Times New Roman" w:cs="Times New Roman"/>
                <w:b/>
                <w:bCs/>
                <w:sz w:val="16"/>
                <w:szCs w:val="16"/>
              </w:rPr>
              <w:t>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b/>
                <w:bCs/>
                <w:sz w:val="16"/>
                <w:szCs w:val="16"/>
              </w:rPr>
              <w:t>Detailed RRM Scope</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sv-SE"/>
              </w:rPr>
            </w:pPr>
            <w:r>
              <w:rPr>
                <w:rFonts w:hint="default" w:ascii="Times New Roman" w:hAnsi="Times New Roman" w:cs="Times New Roman"/>
                <w:b/>
                <w:bCs/>
                <w:sz w:val="16"/>
                <w:szCs w:val="16"/>
                <w:lang w:val="sv-SE"/>
              </w:rPr>
              <w:t>Is</w:t>
            </w:r>
            <w:r>
              <w:rPr>
                <w:rFonts w:hint="default" w:ascii="Times New Roman" w:hAnsi="Times New Roman" w:cs="Times New Roman"/>
                <w:b/>
                <w:bCs/>
                <w:sz w:val="16"/>
                <w:szCs w:val="16"/>
                <w:lang w:val="en-US" w:eastAsia="zh-CN"/>
              </w:rPr>
              <w:t xml:space="preserve"> </w:t>
            </w:r>
            <w:r>
              <w:rPr>
                <w:rFonts w:hint="default" w:ascii="Times New Roman" w:hAnsi="Times New Roman" w:cs="Times New Roman"/>
                <w:b/>
                <w:bCs/>
                <w:sz w:val="16"/>
                <w:szCs w:val="16"/>
                <w:lang w:val="sv-SE"/>
              </w:rPr>
              <w:t>requirement needed for</w:t>
            </w:r>
            <w:r>
              <w:rPr>
                <w:rFonts w:hint="default" w:ascii="Times New Roman" w:hAnsi="Times New Roman" w:eastAsia="宋体" w:cs="Times New Roman"/>
                <w:b/>
                <w:bCs/>
                <w:sz w:val="16"/>
                <w:szCs w:val="16"/>
                <w:lang w:val="en-US" w:eastAsia="zh-CN"/>
              </w:rPr>
              <w:t xml:space="preserve"> Rel-18 NCR- </w:t>
            </w:r>
            <w:r>
              <w:rPr>
                <w:rFonts w:hint="default" w:ascii="Times New Roman" w:hAnsi="Times New Roman" w:cs="Times New Roman"/>
                <w:b/>
                <w:bCs/>
                <w:sz w:val="16"/>
                <w:szCs w:val="16"/>
                <w:lang w:val="sv-SE"/>
              </w:rPr>
              <w:t xml:space="preserve">MT? </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b/>
                <w:bCs/>
                <w:sz w:val="16"/>
                <w:szCs w:val="16"/>
                <w:lang w:val="en-US" w:eastAsia="zh-CN"/>
              </w:rPr>
            </w:pPr>
            <w:r>
              <w:rPr>
                <w:rFonts w:hint="default" w:ascii="Times New Roman" w:hAnsi="Times New Roman" w:cs="Times New Roman"/>
                <w:b/>
                <w:bCs/>
                <w:sz w:val="16"/>
                <w:szCs w:val="16"/>
                <w:lang w:val="sv-SE"/>
              </w:rPr>
              <w:t xml:space="preserve">Technical </w:t>
            </w:r>
            <w:r>
              <w:rPr>
                <w:rFonts w:hint="default" w:ascii="Times New Roman" w:hAnsi="Times New Roman" w:cs="Times New Roman"/>
                <w:b/>
                <w:bCs/>
                <w:sz w:val="16"/>
                <w:szCs w:val="16"/>
                <w:lang w:val="en-US" w:eastAsia="zh-CN"/>
              </w:rPr>
              <w:t>justifications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Cell reselection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default" w:ascii="Times New Roman" w:hAnsi="Times New Roman" w:cs="Times New Roman"/>
                <w:sz w:val="16"/>
                <w:szCs w:val="16"/>
              </w:rPr>
              <w:t>- Intra-frequency</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Inter-frequency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Handover</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ind w:left="0" w:firstLine="0" w:firstLineChars="0"/>
              <w:jc w:val="left"/>
              <w:rPr>
                <w:rFonts w:hint="default" w:ascii="Times New Roman" w:hAnsi="Times New Roman" w:cs="Times New Roman"/>
                <w:sz w:val="16"/>
                <w:szCs w:val="16"/>
                <w:highlight w:val="none"/>
                <w:lang w:val="en-US"/>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RRC Connection Mobility Control</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re-establishment</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Random access</w:t>
            </w:r>
          </w:p>
          <w:p>
            <w:pPr>
              <w:contextualSpacing/>
              <w:rPr>
                <w:rFonts w:hint="default" w:ascii="Times New Roman" w:hAnsi="Times New Roman" w:cs="Times New Roman"/>
                <w:sz w:val="16"/>
                <w:szCs w:val="16"/>
              </w:rPr>
            </w:pPr>
            <w:r>
              <w:rPr>
                <w:rFonts w:hint="default" w:ascii="Times New Roman" w:hAnsi="Times New Roman" w:cs="Times New Roman"/>
                <w:sz w:val="16"/>
                <w:szCs w:val="16"/>
              </w:rPr>
              <w:t>- RRC release with redirection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highlight w:val="none"/>
                <w:lang w:val="en-US" w:eastAsia="zh-CN"/>
              </w:rPr>
              <w:t>wait for RAN2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SCell activation/deactivation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For Rel-18 NC</w:t>
            </w:r>
            <w:r>
              <w:rPr>
                <w:rFonts w:hint="eastAsia" w:ascii="Times New Roman" w:hAnsi="Times New Roman" w:cs="Times New Roman"/>
                <w:sz w:val="16"/>
                <w:szCs w:val="16"/>
                <w:lang w:val="en-US" w:eastAsia="zh-CN"/>
              </w:rPr>
              <w:t>R</w:t>
            </w:r>
            <w:r>
              <w:rPr>
                <w:rFonts w:hint="default" w:ascii="Times New Roman" w:hAnsi="Times New Roman" w:eastAsia="宋体" w:cs="Times New Roman"/>
                <w:sz w:val="16"/>
                <w:szCs w:val="16"/>
                <w:lang w:val="en-US" w:eastAsia="zh-CN"/>
              </w:rPr>
              <w:t>-M</w:t>
            </w:r>
            <w:r>
              <w:rPr>
                <w:rFonts w:hint="eastAsia" w:ascii="Times New Roman" w:hAnsi="Times New Roman" w:cs="Times New Roman"/>
                <w:sz w:val="16"/>
                <w:szCs w:val="16"/>
                <w:lang w:val="en-US" w:eastAsia="zh-CN"/>
              </w:rPr>
              <w:t>T</w:t>
            </w:r>
            <w:r>
              <w:rPr>
                <w:rFonts w:hint="default" w:ascii="Times New Roman" w:hAnsi="Times New Roman" w:eastAsia="宋体" w:cs="Times New Roman"/>
                <w:sz w:val="16"/>
                <w:szCs w:val="16"/>
                <w:lang w:val="en-US" w:eastAsia="zh-CN"/>
              </w:rPr>
              <w:t>,</w:t>
            </w:r>
            <w:r>
              <w:rPr>
                <w:rFonts w:hint="eastAsia"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lang w:val="en-US" w:eastAsia="zh-CN"/>
              </w:rPr>
              <w:t>single carrier</w:t>
            </w:r>
            <w:r>
              <w:rPr>
                <w:rFonts w:hint="eastAsia" w:ascii="Times New Roman" w:hAnsi="Times New Roman" w:cs="Times New Roman"/>
                <w:sz w:val="16"/>
                <w:szCs w:val="16"/>
                <w:lang w:val="en-US" w:eastAsia="zh-CN"/>
              </w:rPr>
              <w:t xml:space="preserve"> operation</w:t>
            </w:r>
            <w:r>
              <w:rPr>
                <w:rFonts w:hint="default" w:ascii="Times New Roman" w:hAnsi="Times New Roman" w:eastAsia="宋体" w:cs="Times New Roman"/>
                <w:sz w:val="16"/>
                <w:szCs w:val="16"/>
                <w:lang w:val="en-US" w:eastAsia="zh-CN"/>
              </w:rPr>
              <w:t xml:space="preserve"> should be sufficient for the </w:t>
            </w:r>
            <w:r>
              <w:rPr>
                <w:rFonts w:hint="eastAsia" w:ascii="Times New Roman" w:hAnsi="Times New Roman" w:cs="Times New Roman"/>
                <w:sz w:val="16"/>
                <w:szCs w:val="16"/>
                <w:lang w:val="en-US" w:eastAsia="zh-CN"/>
              </w:rPr>
              <w:t xml:space="preserve">reception </w:t>
            </w:r>
            <w:r>
              <w:rPr>
                <w:rFonts w:hint="default" w:ascii="Times New Roman" w:hAnsi="Times New Roman" w:eastAsia="宋体" w:cs="Times New Roman"/>
                <w:sz w:val="16"/>
                <w:szCs w:val="16"/>
                <w:lang w:val="en-US" w:eastAsia="zh-CN"/>
              </w:rPr>
              <w:t xml:space="preserve">of the </w:t>
            </w:r>
            <w:r>
              <w:rPr>
                <w:rFonts w:hint="eastAsia" w:ascii="Times New Roman" w:hAnsi="Times New Roman" w:cs="Times New Roman"/>
                <w:sz w:val="16"/>
                <w:szCs w:val="16"/>
                <w:lang w:val="en-US" w:eastAsia="zh-CN"/>
              </w:rPr>
              <w:t>side control</w:t>
            </w:r>
            <w:r>
              <w:rPr>
                <w:rFonts w:hint="default" w:ascii="Times New Roman" w:hAnsi="Times New Roman" w:eastAsia="宋体" w:cs="Times New Roman"/>
                <w:sz w:val="16"/>
                <w:szCs w:val="16"/>
                <w:lang w:val="en-US" w:eastAsia="zh-CN"/>
              </w:rPr>
              <w:t xml:space="preserve"> information defined by RAN1/2/3. Don’t see the strong necessity to have Scell configuration and activation.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Interruptions related to SCells addition, release, activation, deactivation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Interruptions on serving cells due to any of the addition, release, activation, or deactivation procedures </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Similar reason as Scell activation/deactivation</w:t>
            </w:r>
            <w:r>
              <w:rPr>
                <w:rFonts w:hint="eastAsia" w:ascii="Times New Roman" w:hAnsi="Times New Roman" w:cs="Times New Roman"/>
                <w:sz w:val="16"/>
                <w:szCs w:val="16"/>
                <w:lang w:val="en-US" w:eastAsia="zh-CN"/>
              </w:rPr>
              <w:t xml:space="preserve"> of CA.</w:t>
            </w:r>
            <w:r>
              <w:rPr>
                <w:rFonts w:hint="default" w:ascii="Times New Roman" w:hAnsi="Times New Roman" w:cs="Times New Roman"/>
                <w:sz w:val="16"/>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PSCell addition/release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NR-DC is not expected to be supported for Rel-18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Active BWP switching</w:t>
            </w:r>
          </w:p>
        </w:tc>
        <w:tc>
          <w:tcPr>
            <w:tcW w:w="2835" w:type="dxa"/>
            <w:tcBorders>
              <w:tl2br w:val="nil"/>
              <w:tr2bl w:val="nil"/>
            </w:tcBorders>
            <w:shd w:val="clear" w:color="auto" w:fill="auto"/>
            <w:tcMar>
              <w:top w:w="0" w:type="dxa"/>
              <w:left w:w="108" w:type="dxa"/>
              <w:bottom w:w="0" w:type="dxa"/>
              <w:right w:w="108" w:type="dxa"/>
            </w:tcMar>
            <w:vAlign w:val="center"/>
          </w:tcPr>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xml:space="preserve">- Interruptions at </w:t>
            </w:r>
            <w:r>
              <w:rPr>
                <w:rFonts w:hint="default" w:ascii="Times New Roman" w:hAnsi="Times New Roman" w:cs="Times New Roman"/>
                <w:sz w:val="16"/>
                <w:szCs w:val="16"/>
              </w:rPr>
              <w:t>active BWP switching</w:t>
            </w:r>
          </w:p>
          <w:p>
            <w:pPr>
              <w:contextualSpacing/>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 Active BWP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BWP switching for Rel-18 NCR-MT is not expected to happen frequently and don’t see its strong necessity.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highlight w:val="none"/>
              </w:rPr>
            </w:pPr>
            <w:r>
              <w:rPr>
                <w:rFonts w:hint="default" w:ascii="Times New Roman" w:hAnsi="Times New Roman" w:cs="Times New Roman"/>
                <w:b/>
                <w:bCs/>
                <w:sz w:val="16"/>
                <w:szCs w:val="16"/>
                <w:highlight w:val="none"/>
              </w:rPr>
              <w:t>TCI switching</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highlight w:val="none"/>
              </w:rPr>
            </w:pPr>
            <w:r>
              <w:rPr>
                <w:rFonts w:hint="default" w:ascii="Times New Roman" w:hAnsi="Times New Roman" w:cs="Times New Roman"/>
                <w:sz w:val="16"/>
                <w:szCs w:val="16"/>
                <w:highlight w:val="none"/>
              </w:rPr>
              <w:t>TCI switching delay</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cs="Times New Roman"/>
                <w:sz w:val="16"/>
                <w:szCs w:val="16"/>
                <w:lang w:val="en-US" w:eastAsia="zh-CN"/>
              </w:rPr>
              <w:t>FFS</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highlight w:val="none"/>
                <w:lang w:val="en-US" w:eastAsia="zh-CN"/>
              </w:rPr>
            </w:pPr>
            <w:r>
              <w:rPr>
                <w:rFonts w:hint="eastAsia" w:cs="Times New Roman"/>
                <w:sz w:val="16"/>
                <w:szCs w:val="16"/>
                <w:highlight w:val="none"/>
                <w:lang w:val="en-US" w:eastAsia="zh-CN"/>
              </w:rPr>
              <w:t>For Rel-16 IAB-MT, there are no such kind of TCI switching requirement defined for it. However for Rel-18 NCR-MT, it</w:t>
            </w:r>
            <w:r>
              <w:rPr>
                <w:rFonts w:hint="default" w:cs="Times New Roman"/>
                <w:sz w:val="16"/>
                <w:szCs w:val="16"/>
                <w:highlight w:val="none"/>
                <w:lang w:val="en-US" w:eastAsia="zh-CN"/>
              </w:rPr>
              <w:t>’</w:t>
            </w:r>
            <w:r>
              <w:rPr>
                <w:rFonts w:hint="eastAsia" w:cs="Times New Roman"/>
                <w:sz w:val="16"/>
                <w:szCs w:val="16"/>
                <w:highlight w:val="none"/>
                <w:lang w:val="en-US" w:eastAsia="zh-CN"/>
              </w:rPr>
              <w:t>s supposed to support the adaptive beamforming in C-link, therefore it might be beneficial to define the corresponding TCI switching delay requirement for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RLM</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xml:space="preserve">Requirements for RLM, e.g., based on SSB, CSI-RS or both </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highlight w:val="none"/>
                <w:lang w:val="en-US" w:eastAsia="zh-CN"/>
              </w:rPr>
              <w:t>wait for RAN1/2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Link recovery procedures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Requirements for SSB-based and CSI-RS based beam failure detection and candidate beam detection</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eastAsia" w:cs="Times New Roman"/>
                <w:sz w:val="16"/>
                <w:szCs w:val="16"/>
                <w:lang w:val="en-US" w:eastAsia="zh-CN"/>
              </w:rPr>
              <w:t>FFS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lang w:val="en-US"/>
              </w:rPr>
            </w:pPr>
            <w:r>
              <w:rPr>
                <w:rFonts w:hint="eastAsia" w:cs="Times New Roman"/>
                <w:sz w:val="16"/>
                <w:szCs w:val="16"/>
                <w:highlight w:val="none"/>
                <w:lang w:val="en-US" w:eastAsia="zh-CN"/>
              </w:rPr>
              <w:t>wait for RAN1/2 progress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 xml:space="preserve">Measurements requirements (time duration, number of cells, etc.) </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Measurement requirements are not that important to Re</w:t>
            </w:r>
            <w:r>
              <w:rPr>
                <w:rFonts w:hint="default" w:ascii="Times New Roman" w:hAnsi="Times New Roman" w:eastAsia="宋体" w:cs="Times New Roman"/>
                <w:sz w:val="16"/>
                <w:szCs w:val="16"/>
                <w:lang w:val="en-US" w:eastAsia="zh-CN"/>
              </w:rPr>
              <w:t>l-18 NCR-MT due to its fixed deployment.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Measurement accuracy 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Similar as Rel-16 IAB-MT. No requirement is needed different from the normal UE.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MT timing related requirements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MT MRTD/MTTD</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transmit timing</w:t>
            </w:r>
          </w:p>
          <w:p>
            <w:pPr>
              <w:spacing w:after="0"/>
              <w:rPr>
                <w:rFonts w:hint="default" w:ascii="Times New Roman" w:hAnsi="Times New Roman" w:cs="Times New Roman"/>
                <w:sz w:val="16"/>
                <w:szCs w:val="16"/>
              </w:rPr>
            </w:pPr>
            <w:r>
              <w:rPr>
                <w:rFonts w:hint="default" w:ascii="Times New Roman" w:hAnsi="Times New Roman" w:cs="Times New Roman"/>
                <w:sz w:val="16"/>
                <w:szCs w:val="16"/>
              </w:rPr>
              <w:t>- MT timing advance</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Yes</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cs="Times New Roman"/>
                <w:sz w:val="16"/>
                <w:szCs w:val="16"/>
              </w:rPr>
              <w:t>The same timing related requirement as Rel-1</w:t>
            </w:r>
            <w:r>
              <w:rPr>
                <w:rFonts w:hint="eastAsia" w:cs="Times New Roman"/>
                <w:sz w:val="16"/>
                <w:szCs w:val="16"/>
                <w:lang w:val="en-US" w:eastAsia="zh-CN"/>
              </w:rPr>
              <w:t>6 IAB-MT</w:t>
            </w:r>
            <w:r>
              <w:rPr>
                <w:rFonts w:hint="default" w:ascii="Times New Roman" w:hAnsi="Times New Roman" w:cs="Times New Roman"/>
                <w:sz w:val="16"/>
                <w:szCs w:val="16"/>
              </w:rPr>
              <w:t xml:space="preserve"> shall be applied to </w:t>
            </w:r>
            <w:r>
              <w:rPr>
                <w:rFonts w:hint="default" w:ascii="Times New Roman" w:hAnsi="Times New Roman" w:eastAsia="宋体" w:cs="Times New Roman"/>
                <w:sz w:val="16"/>
                <w:szCs w:val="16"/>
                <w:lang w:val="en-US" w:eastAsia="zh-CN"/>
              </w:rPr>
              <w:t>Rel-18 NCR-MT.</w:t>
            </w:r>
          </w:p>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MT MRTD and MTTD is not applicable for NCR-MT.</w:t>
            </w:r>
          </w:p>
          <w:p>
            <w:pPr>
              <w:spacing w:after="0"/>
              <w:rPr>
                <w:rFonts w:hint="default" w:ascii="Times New Roman" w:hAnsi="Times New Roman" w:eastAsia="宋体" w:cs="Times New Roman"/>
                <w:sz w:val="16"/>
                <w:szCs w:val="16"/>
                <w:lang w:val="en-US" w:eastAsia="zh-CN"/>
              </w:rPr>
            </w:pPr>
          </w:p>
        </w:tc>
      </w:tr>
    </w:tbl>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rPr>
          <w:rFonts w:hint="eastAsia" w:ascii="Times New Roman" w:hAnsi="Times New Roman" w:cs="Times New Roman"/>
          <w:b w:val="0"/>
          <w:bCs w:val="0"/>
          <w:sz w:val="20"/>
          <w:szCs w:val="20"/>
          <w:highlight w:val="none"/>
          <w:lang w:val="en-US" w:eastAsia="zh-CN"/>
        </w:rPr>
      </w:pP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EB484BF5"/>
    <w:multiLevelType w:val="singleLevel"/>
    <w:tmpl w:val="EB484BF5"/>
    <w:lvl w:ilvl="0" w:tentative="0">
      <w:start w:val="1"/>
      <w:numFmt w:val="bullet"/>
      <w:lvlText w:val=""/>
      <w:lvlJc w:val="left"/>
      <w:pPr>
        <w:ind w:left="420" w:hanging="420"/>
      </w:pPr>
      <w:rPr>
        <w:rFonts w:hint="default" w:ascii="Wingdings" w:hAnsi="Wingdings"/>
      </w:rPr>
    </w:lvl>
  </w:abstractNum>
  <w:abstractNum w:abstractNumId="2">
    <w:nsid w:val="F99B0B11"/>
    <w:multiLevelType w:val="singleLevel"/>
    <w:tmpl w:val="F99B0B11"/>
    <w:lvl w:ilvl="0" w:tentative="0">
      <w:start w:val="1"/>
      <w:numFmt w:val="bullet"/>
      <w:lvlText w:val="‒"/>
      <w:lvlJc w:val="left"/>
      <w:pPr>
        <w:ind w:left="420" w:leftChars="0" w:hanging="420" w:firstLineChars="0"/>
      </w:pPr>
      <w:rPr>
        <w:rFonts w:hint="default" w:ascii="Arial" w:hAnsi="Arial" w:cs="Arial"/>
      </w:rPr>
    </w:lvl>
  </w:abstractNum>
  <w:abstractNum w:abstractNumId="3">
    <w:nsid w:val="0C525741"/>
    <w:multiLevelType w:val="multilevel"/>
    <w:tmpl w:val="0C5257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5E17E0"/>
    <w:multiLevelType w:val="multilevel"/>
    <w:tmpl w:val="105E17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A11164"/>
    <w:multiLevelType w:val="multilevel"/>
    <w:tmpl w:val="1FA111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FCB545A"/>
    <w:multiLevelType w:val="multilevel"/>
    <w:tmpl w:val="1FCB545A"/>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0"/>
      <w:numFmt w:val="bullet"/>
      <w:lvlText w:val="•"/>
      <w:lvlJc w:val="left"/>
      <w:pPr>
        <w:ind w:left="3660" w:hanging="360"/>
      </w:pPr>
      <w:rPr>
        <w:rFonts w:hint="default" w:ascii="Times New Roman" w:hAnsi="Times New Roman" w:eastAsia="Times New Roman" w:cs="Times New Roman"/>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7">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A845787"/>
    <w:multiLevelType w:val="multilevel"/>
    <w:tmpl w:val="2A8457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93C40B2"/>
    <w:multiLevelType w:val="multilevel"/>
    <w:tmpl w:val="493C40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o"/>
      <w:lvlJc w:val="left"/>
      <w:pPr>
        <w:ind w:left="3096" w:hanging="360"/>
      </w:pPr>
      <w:rPr>
        <w:rFonts w:hint="default" w:ascii="Courier New" w:hAnsi="Courier New" w:cs="Courier New"/>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4">
    <w:nsid w:val="5A802071"/>
    <w:multiLevelType w:val="multilevel"/>
    <w:tmpl w:val="5A80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6">
    <w:nsid w:val="6ADB109E"/>
    <w:multiLevelType w:val="multilevel"/>
    <w:tmpl w:val="6ADB1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BB6054B"/>
    <w:multiLevelType w:val="multilevel"/>
    <w:tmpl w:val="6BB60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A240CE3"/>
    <w:multiLevelType w:val="multilevel"/>
    <w:tmpl w:val="7A240C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C7A2F0D"/>
    <w:multiLevelType w:val="multilevel"/>
    <w:tmpl w:val="7C7A2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5"/>
  </w:num>
  <w:num w:numId="2">
    <w:abstractNumId w:val="18"/>
  </w:num>
  <w:num w:numId="3">
    <w:abstractNumId w:val="14"/>
  </w:num>
  <w:num w:numId="4">
    <w:abstractNumId w:val="9"/>
  </w:num>
  <w:num w:numId="5">
    <w:abstractNumId w:val="10"/>
  </w:num>
  <w:num w:numId="6">
    <w:abstractNumId w:val="7"/>
  </w:num>
  <w:num w:numId="7">
    <w:abstractNumId w:val="16"/>
  </w:num>
  <w:num w:numId="8">
    <w:abstractNumId w:val="19"/>
  </w:num>
  <w:num w:numId="9">
    <w:abstractNumId w:val="12"/>
  </w:num>
  <w:num w:numId="10">
    <w:abstractNumId w:val="3"/>
  </w:num>
  <w:num w:numId="11">
    <w:abstractNumId w:val="8"/>
  </w:num>
  <w:num w:numId="12">
    <w:abstractNumId w:val="20"/>
  </w:num>
  <w:num w:numId="13">
    <w:abstractNumId w:val="1"/>
  </w:num>
  <w:num w:numId="14">
    <w:abstractNumId w:val="2"/>
  </w:num>
  <w:num w:numId="15">
    <w:abstractNumId w:val="17"/>
  </w:num>
  <w:num w:numId="16">
    <w:abstractNumId w:val="6"/>
  </w:num>
  <w:num w:numId="17">
    <w:abstractNumId w:val="13"/>
  </w:num>
  <w:num w:numId="18">
    <w:abstractNumId w:val="11"/>
  </w:num>
  <w:num w:numId="19">
    <w:abstractNumId w:val="5"/>
  </w:num>
  <w:num w:numId="20">
    <w:abstractNumId w:val="4"/>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683"/>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370"/>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41768"/>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44D69"/>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633BC"/>
    <w:rsid w:val="01BE34DB"/>
    <w:rsid w:val="01BE6ACE"/>
    <w:rsid w:val="01C027D4"/>
    <w:rsid w:val="01C22FF6"/>
    <w:rsid w:val="01C32135"/>
    <w:rsid w:val="01CB0428"/>
    <w:rsid w:val="01CB7A2C"/>
    <w:rsid w:val="01CF07AE"/>
    <w:rsid w:val="01D518FC"/>
    <w:rsid w:val="01D615E1"/>
    <w:rsid w:val="01E1598F"/>
    <w:rsid w:val="01E268ED"/>
    <w:rsid w:val="01E83BF9"/>
    <w:rsid w:val="01E959C2"/>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844A6"/>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CF13F1"/>
    <w:rsid w:val="02D53825"/>
    <w:rsid w:val="02D72CF0"/>
    <w:rsid w:val="02DB3978"/>
    <w:rsid w:val="02DC6BBC"/>
    <w:rsid w:val="02E2334D"/>
    <w:rsid w:val="02E3271D"/>
    <w:rsid w:val="02E33CF4"/>
    <w:rsid w:val="02E929C0"/>
    <w:rsid w:val="02EE0A6D"/>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B5089"/>
    <w:rsid w:val="035C4C68"/>
    <w:rsid w:val="035D187D"/>
    <w:rsid w:val="035D2EB4"/>
    <w:rsid w:val="03634AFB"/>
    <w:rsid w:val="03651217"/>
    <w:rsid w:val="03687ADD"/>
    <w:rsid w:val="03696DA6"/>
    <w:rsid w:val="036A231E"/>
    <w:rsid w:val="037108B3"/>
    <w:rsid w:val="03774924"/>
    <w:rsid w:val="037A791C"/>
    <w:rsid w:val="037F5583"/>
    <w:rsid w:val="03822F79"/>
    <w:rsid w:val="03860C46"/>
    <w:rsid w:val="03916F8F"/>
    <w:rsid w:val="039521F8"/>
    <w:rsid w:val="0395764C"/>
    <w:rsid w:val="039B69FD"/>
    <w:rsid w:val="03A25AF8"/>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501EB6"/>
    <w:rsid w:val="045835A5"/>
    <w:rsid w:val="045C0E21"/>
    <w:rsid w:val="045E1DEE"/>
    <w:rsid w:val="045F23BF"/>
    <w:rsid w:val="04605B56"/>
    <w:rsid w:val="04671100"/>
    <w:rsid w:val="046E568E"/>
    <w:rsid w:val="046F64DC"/>
    <w:rsid w:val="04786ED3"/>
    <w:rsid w:val="04856247"/>
    <w:rsid w:val="04857B08"/>
    <w:rsid w:val="04865E52"/>
    <w:rsid w:val="04870F65"/>
    <w:rsid w:val="048829D4"/>
    <w:rsid w:val="04892630"/>
    <w:rsid w:val="049B40DC"/>
    <w:rsid w:val="04A4594F"/>
    <w:rsid w:val="04B939F3"/>
    <w:rsid w:val="04C1791D"/>
    <w:rsid w:val="04CC443B"/>
    <w:rsid w:val="04D0730C"/>
    <w:rsid w:val="04D1467D"/>
    <w:rsid w:val="04D66461"/>
    <w:rsid w:val="04D7057F"/>
    <w:rsid w:val="04E66AD6"/>
    <w:rsid w:val="04F4168D"/>
    <w:rsid w:val="04F91341"/>
    <w:rsid w:val="05057324"/>
    <w:rsid w:val="051034CD"/>
    <w:rsid w:val="051F43BC"/>
    <w:rsid w:val="05210F51"/>
    <w:rsid w:val="05212C58"/>
    <w:rsid w:val="052432F7"/>
    <w:rsid w:val="05280A89"/>
    <w:rsid w:val="0536740B"/>
    <w:rsid w:val="05367F8C"/>
    <w:rsid w:val="05377A13"/>
    <w:rsid w:val="053E1AC2"/>
    <w:rsid w:val="054270FF"/>
    <w:rsid w:val="0545651B"/>
    <w:rsid w:val="054757CB"/>
    <w:rsid w:val="05517927"/>
    <w:rsid w:val="05583DC1"/>
    <w:rsid w:val="055A77BF"/>
    <w:rsid w:val="056838C5"/>
    <w:rsid w:val="05687505"/>
    <w:rsid w:val="056D199B"/>
    <w:rsid w:val="05734531"/>
    <w:rsid w:val="05784E56"/>
    <w:rsid w:val="05804262"/>
    <w:rsid w:val="05816D10"/>
    <w:rsid w:val="058C5D03"/>
    <w:rsid w:val="058E6ED4"/>
    <w:rsid w:val="05930F73"/>
    <w:rsid w:val="05940F3F"/>
    <w:rsid w:val="05991C8F"/>
    <w:rsid w:val="05A003D3"/>
    <w:rsid w:val="05A706E9"/>
    <w:rsid w:val="05AC76A1"/>
    <w:rsid w:val="05B11A20"/>
    <w:rsid w:val="05B173DC"/>
    <w:rsid w:val="05B2256A"/>
    <w:rsid w:val="05B27D07"/>
    <w:rsid w:val="05B658ED"/>
    <w:rsid w:val="05BC079D"/>
    <w:rsid w:val="05BE42A5"/>
    <w:rsid w:val="05C256BE"/>
    <w:rsid w:val="05CA69F0"/>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1B49EF"/>
    <w:rsid w:val="06226834"/>
    <w:rsid w:val="062B33E0"/>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53A5F"/>
    <w:rsid w:val="068C6317"/>
    <w:rsid w:val="06914133"/>
    <w:rsid w:val="069B1966"/>
    <w:rsid w:val="06A32A23"/>
    <w:rsid w:val="06A55EB9"/>
    <w:rsid w:val="06AE0568"/>
    <w:rsid w:val="06B506C7"/>
    <w:rsid w:val="06B548E2"/>
    <w:rsid w:val="06BA7F49"/>
    <w:rsid w:val="06BB4F9D"/>
    <w:rsid w:val="06C27C3B"/>
    <w:rsid w:val="06C72EBF"/>
    <w:rsid w:val="06C9247F"/>
    <w:rsid w:val="06CD3A64"/>
    <w:rsid w:val="06F23983"/>
    <w:rsid w:val="06F30672"/>
    <w:rsid w:val="06F30BE9"/>
    <w:rsid w:val="06F35A7A"/>
    <w:rsid w:val="06F35AB6"/>
    <w:rsid w:val="06F511C2"/>
    <w:rsid w:val="06F55353"/>
    <w:rsid w:val="06F5790E"/>
    <w:rsid w:val="06F66B05"/>
    <w:rsid w:val="06FA3300"/>
    <w:rsid w:val="06FC7FC6"/>
    <w:rsid w:val="07025E59"/>
    <w:rsid w:val="0708086F"/>
    <w:rsid w:val="070A7388"/>
    <w:rsid w:val="070C0BED"/>
    <w:rsid w:val="071D6529"/>
    <w:rsid w:val="07220D76"/>
    <w:rsid w:val="072717DA"/>
    <w:rsid w:val="07277193"/>
    <w:rsid w:val="072B7E46"/>
    <w:rsid w:val="072F2139"/>
    <w:rsid w:val="073A0065"/>
    <w:rsid w:val="073B285A"/>
    <w:rsid w:val="07436058"/>
    <w:rsid w:val="0747046F"/>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75D31"/>
    <w:rsid w:val="080B6FA6"/>
    <w:rsid w:val="080F4BCD"/>
    <w:rsid w:val="08120AE0"/>
    <w:rsid w:val="08166CC2"/>
    <w:rsid w:val="08171593"/>
    <w:rsid w:val="0818102A"/>
    <w:rsid w:val="081C10C8"/>
    <w:rsid w:val="082F32BA"/>
    <w:rsid w:val="0835476E"/>
    <w:rsid w:val="08367FC2"/>
    <w:rsid w:val="08391661"/>
    <w:rsid w:val="08404931"/>
    <w:rsid w:val="084B11DC"/>
    <w:rsid w:val="084E0029"/>
    <w:rsid w:val="08550FFB"/>
    <w:rsid w:val="085C428E"/>
    <w:rsid w:val="085D6C7E"/>
    <w:rsid w:val="08611CAF"/>
    <w:rsid w:val="0865781A"/>
    <w:rsid w:val="0866133E"/>
    <w:rsid w:val="08692F64"/>
    <w:rsid w:val="086A2992"/>
    <w:rsid w:val="086A3DDE"/>
    <w:rsid w:val="087716A2"/>
    <w:rsid w:val="08780590"/>
    <w:rsid w:val="087E046C"/>
    <w:rsid w:val="08813C88"/>
    <w:rsid w:val="088823F3"/>
    <w:rsid w:val="08913F88"/>
    <w:rsid w:val="08942BDF"/>
    <w:rsid w:val="089852F1"/>
    <w:rsid w:val="08990610"/>
    <w:rsid w:val="089B5449"/>
    <w:rsid w:val="089D6B7D"/>
    <w:rsid w:val="08A03B5E"/>
    <w:rsid w:val="08A275F2"/>
    <w:rsid w:val="08AB082D"/>
    <w:rsid w:val="08B21918"/>
    <w:rsid w:val="08B40442"/>
    <w:rsid w:val="08B94847"/>
    <w:rsid w:val="08C14001"/>
    <w:rsid w:val="08C31C5C"/>
    <w:rsid w:val="08D33F9A"/>
    <w:rsid w:val="08D836B6"/>
    <w:rsid w:val="08E61B69"/>
    <w:rsid w:val="08F5200D"/>
    <w:rsid w:val="08F911CC"/>
    <w:rsid w:val="09016732"/>
    <w:rsid w:val="09127CF4"/>
    <w:rsid w:val="0915085E"/>
    <w:rsid w:val="09201BD2"/>
    <w:rsid w:val="092234B5"/>
    <w:rsid w:val="09226860"/>
    <w:rsid w:val="092C26C9"/>
    <w:rsid w:val="09334A3F"/>
    <w:rsid w:val="09340ADD"/>
    <w:rsid w:val="094109B5"/>
    <w:rsid w:val="09444B9B"/>
    <w:rsid w:val="0944702B"/>
    <w:rsid w:val="0953050B"/>
    <w:rsid w:val="09546457"/>
    <w:rsid w:val="0958129F"/>
    <w:rsid w:val="09582472"/>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346F5"/>
    <w:rsid w:val="09CD6A58"/>
    <w:rsid w:val="09CD6EF5"/>
    <w:rsid w:val="09E14486"/>
    <w:rsid w:val="09E27D74"/>
    <w:rsid w:val="09E4648F"/>
    <w:rsid w:val="09EB7AE5"/>
    <w:rsid w:val="09F1407D"/>
    <w:rsid w:val="09F21427"/>
    <w:rsid w:val="09F333CA"/>
    <w:rsid w:val="09F839EB"/>
    <w:rsid w:val="0A093274"/>
    <w:rsid w:val="0A145E2C"/>
    <w:rsid w:val="0A15584C"/>
    <w:rsid w:val="0A1F32C6"/>
    <w:rsid w:val="0A223227"/>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0E590D"/>
    <w:rsid w:val="0B110AC0"/>
    <w:rsid w:val="0B1157EF"/>
    <w:rsid w:val="0B155EAD"/>
    <w:rsid w:val="0B1765E0"/>
    <w:rsid w:val="0B1C1D7C"/>
    <w:rsid w:val="0B1D3582"/>
    <w:rsid w:val="0B22066E"/>
    <w:rsid w:val="0B263E40"/>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C73EEA"/>
    <w:rsid w:val="0BD21910"/>
    <w:rsid w:val="0BDA3782"/>
    <w:rsid w:val="0BDB5584"/>
    <w:rsid w:val="0BE03DAA"/>
    <w:rsid w:val="0BE17727"/>
    <w:rsid w:val="0BEC55E4"/>
    <w:rsid w:val="0BEF4020"/>
    <w:rsid w:val="0BF427F9"/>
    <w:rsid w:val="0BFC0AB6"/>
    <w:rsid w:val="0C024449"/>
    <w:rsid w:val="0C0B2ABC"/>
    <w:rsid w:val="0C0C632D"/>
    <w:rsid w:val="0C0F6199"/>
    <w:rsid w:val="0C120111"/>
    <w:rsid w:val="0C12447E"/>
    <w:rsid w:val="0C190475"/>
    <w:rsid w:val="0C1D0A79"/>
    <w:rsid w:val="0C28290F"/>
    <w:rsid w:val="0C2D2C17"/>
    <w:rsid w:val="0C37145B"/>
    <w:rsid w:val="0C39044F"/>
    <w:rsid w:val="0C3946F8"/>
    <w:rsid w:val="0C3C0AB0"/>
    <w:rsid w:val="0C513B64"/>
    <w:rsid w:val="0C52301A"/>
    <w:rsid w:val="0C55448E"/>
    <w:rsid w:val="0C573449"/>
    <w:rsid w:val="0C57558E"/>
    <w:rsid w:val="0C576E02"/>
    <w:rsid w:val="0C5E0078"/>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619CA"/>
    <w:rsid w:val="0CA92BAC"/>
    <w:rsid w:val="0CA9385A"/>
    <w:rsid w:val="0CB471A1"/>
    <w:rsid w:val="0CB90F2E"/>
    <w:rsid w:val="0CBB5A0F"/>
    <w:rsid w:val="0CCD3B1C"/>
    <w:rsid w:val="0CD5243A"/>
    <w:rsid w:val="0CDC4799"/>
    <w:rsid w:val="0CDF587F"/>
    <w:rsid w:val="0CE245F1"/>
    <w:rsid w:val="0CE4001E"/>
    <w:rsid w:val="0D0213CD"/>
    <w:rsid w:val="0D027C13"/>
    <w:rsid w:val="0D04575D"/>
    <w:rsid w:val="0D0612B8"/>
    <w:rsid w:val="0D066A9C"/>
    <w:rsid w:val="0D0714BC"/>
    <w:rsid w:val="0D0D4AEC"/>
    <w:rsid w:val="0D1107E4"/>
    <w:rsid w:val="0D136EF9"/>
    <w:rsid w:val="0D1A1E1D"/>
    <w:rsid w:val="0D1A52C8"/>
    <w:rsid w:val="0D1B5658"/>
    <w:rsid w:val="0D1C1D16"/>
    <w:rsid w:val="0D21615D"/>
    <w:rsid w:val="0D2454BF"/>
    <w:rsid w:val="0D2767B5"/>
    <w:rsid w:val="0D32461A"/>
    <w:rsid w:val="0D3E327E"/>
    <w:rsid w:val="0D3F149D"/>
    <w:rsid w:val="0D3F28C5"/>
    <w:rsid w:val="0D405038"/>
    <w:rsid w:val="0D432A3E"/>
    <w:rsid w:val="0D480AA9"/>
    <w:rsid w:val="0D5800C7"/>
    <w:rsid w:val="0D5A2ECA"/>
    <w:rsid w:val="0D5B6E86"/>
    <w:rsid w:val="0D60348E"/>
    <w:rsid w:val="0D604B9B"/>
    <w:rsid w:val="0D6A353C"/>
    <w:rsid w:val="0D7B2715"/>
    <w:rsid w:val="0D826C81"/>
    <w:rsid w:val="0D904522"/>
    <w:rsid w:val="0D922FBF"/>
    <w:rsid w:val="0D976014"/>
    <w:rsid w:val="0DA060E8"/>
    <w:rsid w:val="0DA27073"/>
    <w:rsid w:val="0DA553DD"/>
    <w:rsid w:val="0DA57AAE"/>
    <w:rsid w:val="0DA70310"/>
    <w:rsid w:val="0DB76EF8"/>
    <w:rsid w:val="0DBA4E56"/>
    <w:rsid w:val="0DBB7C39"/>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051ED"/>
    <w:rsid w:val="0E766D1E"/>
    <w:rsid w:val="0E771E51"/>
    <w:rsid w:val="0E796EA0"/>
    <w:rsid w:val="0E7A2A61"/>
    <w:rsid w:val="0E7C0762"/>
    <w:rsid w:val="0E8118C0"/>
    <w:rsid w:val="0E822FF5"/>
    <w:rsid w:val="0E8C32E3"/>
    <w:rsid w:val="0E9A17E3"/>
    <w:rsid w:val="0EA11114"/>
    <w:rsid w:val="0EA35AC0"/>
    <w:rsid w:val="0EB34961"/>
    <w:rsid w:val="0EB9447E"/>
    <w:rsid w:val="0EC11B24"/>
    <w:rsid w:val="0EC23158"/>
    <w:rsid w:val="0EC34A89"/>
    <w:rsid w:val="0EC468A2"/>
    <w:rsid w:val="0EC7608D"/>
    <w:rsid w:val="0ECA0784"/>
    <w:rsid w:val="0ECC4066"/>
    <w:rsid w:val="0ECE7C5F"/>
    <w:rsid w:val="0ED12B32"/>
    <w:rsid w:val="0ED97B7B"/>
    <w:rsid w:val="0EDA48C8"/>
    <w:rsid w:val="0EDC23DA"/>
    <w:rsid w:val="0EDC4D55"/>
    <w:rsid w:val="0EE71A06"/>
    <w:rsid w:val="0EF06833"/>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1790D"/>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94F66"/>
    <w:rsid w:val="104B2D15"/>
    <w:rsid w:val="104B5238"/>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53B42"/>
    <w:rsid w:val="10A43A47"/>
    <w:rsid w:val="10A81B6F"/>
    <w:rsid w:val="10B21F6D"/>
    <w:rsid w:val="10B7486E"/>
    <w:rsid w:val="10CC5735"/>
    <w:rsid w:val="10D679E0"/>
    <w:rsid w:val="10E558A9"/>
    <w:rsid w:val="10E87CBF"/>
    <w:rsid w:val="10FA45D2"/>
    <w:rsid w:val="11024527"/>
    <w:rsid w:val="110A4489"/>
    <w:rsid w:val="11150F62"/>
    <w:rsid w:val="111A28E5"/>
    <w:rsid w:val="112F54D2"/>
    <w:rsid w:val="1133321C"/>
    <w:rsid w:val="113D5003"/>
    <w:rsid w:val="1142087F"/>
    <w:rsid w:val="11457D8C"/>
    <w:rsid w:val="11461F96"/>
    <w:rsid w:val="11484DE1"/>
    <w:rsid w:val="11495016"/>
    <w:rsid w:val="11497247"/>
    <w:rsid w:val="114C3CA8"/>
    <w:rsid w:val="114C59D3"/>
    <w:rsid w:val="114D3A1D"/>
    <w:rsid w:val="11562BF2"/>
    <w:rsid w:val="11576536"/>
    <w:rsid w:val="11607F73"/>
    <w:rsid w:val="11613848"/>
    <w:rsid w:val="11613A1B"/>
    <w:rsid w:val="11703DE0"/>
    <w:rsid w:val="117561EB"/>
    <w:rsid w:val="117824F0"/>
    <w:rsid w:val="117E2370"/>
    <w:rsid w:val="117F18A4"/>
    <w:rsid w:val="117F5A42"/>
    <w:rsid w:val="11800455"/>
    <w:rsid w:val="11841D59"/>
    <w:rsid w:val="11847341"/>
    <w:rsid w:val="119828A9"/>
    <w:rsid w:val="11996649"/>
    <w:rsid w:val="119B047D"/>
    <w:rsid w:val="119D5744"/>
    <w:rsid w:val="119E37E5"/>
    <w:rsid w:val="11AA61BD"/>
    <w:rsid w:val="11AC7561"/>
    <w:rsid w:val="11AE6531"/>
    <w:rsid w:val="11AF439E"/>
    <w:rsid w:val="11B50817"/>
    <w:rsid w:val="11B66269"/>
    <w:rsid w:val="11BA0839"/>
    <w:rsid w:val="11C0253D"/>
    <w:rsid w:val="11CA3974"/>
    <w:rsid w:val="11D141B5"/>
    <w:rsid w:val="11E4369D"/>
    <w:rsid w:val="11EE4F27"/>
    <w:rsid w:val="11F267E8"/>
    <w:rsid w:val="11F427FC"/>
    <w:rsid w:val="12066C25"/>
    <w:rsid w:val="120A57D9"/>
    <w:rsid w:val="1210456D"/>
    <w:rsid w:val="12134828"/>
    <w:rsid w:val="12143598"/>
    <w:rsid w:val="121729B6"/>
    <w:rsid w:val="12220941"/>
    <w:rsid w:val="12235E80"/>
    <w:rsid w:val="122A6318"/>
    <w:rsid w:val="122C6138"/>
    <w:rsid w:val="123616D6"/>
    <w:rsid w:val="12396B0A"/>
    <w:rsid w:val="123A4237"/>
    <w:rsid w:val="123A52C3"/>
    <w:rsid w:val="123D57B2"/>
    <w:rsid w:val="123E0CDC"/>
    <w:rsid w:val="125A02CC"/>
    <w:rsid w:val="127222F3"/>
    <w:rsid w:val="12773FD1"/>
    <w:rsid w:val="127A79B2"/>
    <w:rsid w:val="127D422E"/>
    <w:rsid w:val="128229CE"/>
    <w:rsid w:val="12845278"/>
    <w:rsid w:val="12863AEA"/>
    <w:rsid w:val="128C036A"/>
    <w:rsid w:val="128E70AD"/>
    <w:rsid w:val="129A3468"/>
    <w:rsid w:val="129D41B7"/>
    <w:rsid w:val="12A45BB3"/>
    <w:rsid w:val="12AC51B9"/>
    <w:rsid w:val="12B1068C"/>
    <w:rsid w:val="12B5075C"/>
    <w:rsid w:val="12B97F45"/>
    <w:rsid w:val="12BC3C60"/>
    <w:rsid w:val="12C32A50"/>
    <w:rsid w:val="12C667C3"/>
    <w:rsid w:val="12C77089"/>
    <w:rsid w:val="12C900DF"/>
    <w:rsid w:val="12CB4026"/>
    <w:rsid w:val="12CE1EA4"/>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467FA"/>
    <w:rsid w:val="132625C2"/>
    <w:rsid w:val="132A7435"/>
    <w:rsid w:val="132B079A"/>
    <w:rsid w:val="13322AD3"/>
    <w:rsid w:val="133B5756"/>
    <w:rsid w:val="134904A6"/>
    <w:rsid w:val="135845C3"/>
    <w:rsid w:val="135F5E4E"/>
    <w:rsid w:val="136A262D"/>
    <w:rsid w:val="137F1B10"/>
    <w:rsid w:val="1382164E"/>
    <w:rsid w:val="13833718"/>
    <w:rsid w:val="13913843"/>
    <w:rsid w:val="13920C1D"/>
    <w:rsid w:val="13962CE5"/>
    <w:rsid w:val="139759A4"/>
    <w:rsid w:val="13A62921"/>
    <w:rsid w:val="13AB3B97"/>
    <w:rsid w:val="13AB3ED1"/>
    <w:rsid w:val="13B3379C"/>
    <w:rsid w:val="13B35E26"/>
    <w:rsid w:val="13B42C01"/>
    <w:rsid w:val="13B445AD"/>
    <w:rsid w:val="13B66BD2"/>
    <w:rsid w:val="13BC1FE2"/>
    <w:rsid w:val="13BF66BA"/>
    <w:rsid w:val="13CA31CB"/>
    <w:rsid w:val="13CD1105"/>
    <w:rsid w:val="13D270E2"/>
    <w:rsid w:val="13D27C86"/>
    <w:rsid w:val="13D506F8"/>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610F9F"/>
    <w:rsid w:val="14812D74"/>
    <w:rsid w:val="14836C15"/>
    <w:rsid w:val="14855839"/>
    <w:rsid w:val="14862300"/>
    <w:rsid w:val="148C00A0"/>
    <w:rsid w:val="148D3653"/>
    <w:rsid w:val="148E7A88"/>
    <w:rsid w:val="149E0A7B"/>
    <w:rsid w:val="14A82A63"/>
    <w:rsid w:val="14A86EA4"/>
    <w:rsid w:val="14AC358C"/>
    <w:rsid w:val="14B76730"/>
    <w:rsid w:val="14BB4849"/>
    <w:rsid w:val="14C767C8"/>
    <w:rsid w:val="14CE077F"/>
    <w:rsid w:val="14D054BE"/>
    <w:rsid w:val="14DE753E"/>
    <w:rsid w:val="14EF1F14"/>
    <w:rsid w:val="14F51028"/>
    <w:rsid w:val="14F549EC"/>
    <w:rsid w:val="14F92549"/>
    <w:rsid w:val="14FB4950"/>
    <w:rsid w:val="14FD4800"/>
    <w:rsid w:val="14FE45D8"/>
    <w:rsid w:val="15035A0D"/>
    <w:rsid w:val="150650CB"/>
    <w:rsid w:val="150B7DB0"/>
    <w:rsid w:val="150E6B8B"/>
    <w:rsid w:val="15157DF4"/>
    <w:rsid w:val="151B0462"/>
    <w:rsid w:val="151C45D8"/>
    <w:rsid w:val="151E0CED"/>
    <w:rsid w:val="152119C4"/>
    <w:rsid w:val="15290336"/>
    <w:rsid w:val="15297BD7"/>
    <w:rsid w:val="153C10F6"/>
    <w:rsid w:val="154A6624"/>
    <w:rsid w:val="155424D6"/>
    <w:rsid w:val="1556019D"/>
    <w:rsid w:val="155605E9"/>
    <w:rsid w:val="155B1745"/>
    <w:rsid w:val="155D7FBF"/>
    <w:rsid w:val="155F651D"/>
    <w:rsid w:val="15655F19"/>
    <w:rsid w:val="157348EB"/>
    <w:rsid w:val="157500D8"/>
    <w:rsid w:val="1577577E"/>
    <w:rsid w:val="15787FE5"/>
    <w:rsid w:val="157D5103"/>
    <w:rsid w:val="157E21FE"/>
    <w:rsid w:val="157E5AA6"/>
    <w:rsid w:val="15845391"/>
    <w:rsid w:val="1587411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7597F"/>
    <w:rsid w:val="15EF7105"/>
    <w:rsid w:val="15FC36E9"/>
    <w:rsid w:val="1600207A"/>
    <w:rsid w:val="16004352"/>
    <w:rsid w:val="160C437B"/>
    <w:rsid w:val="161033BE"/>
    <w:rsid w:val="16131B4A"/>
    <w:rsid w:val="16160429"/>
    <w:rsid w:val="161C3234"/>
    <w:rsid w:val="16247804"/>
    <w:rsid w:val="16264D71"/>
    <w:rsid w:val="16287783"/>
    <w:rsid w:val="162962F6"/>
    <w:rsid w:val="16304F9D"/>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90256"/>
    <w:rsid w:val="16AA56E3"/>
    <w:rsid w:val="16AC6E85"/>
    <w:rsid w:val="16AD0A57"/>
    <w:rsid w:val="16BA18A0"/>
    <w:rsid w:val="16BD160C"/>
    <w:rsid w:val="16BE109A"/>
    <w:rsid w:val="16C2724F"/>
    <w:rsid w:val="16C41FCF"/>
    <w:rsid w:val="16D2096B"/>
    <w:rsid w:val="16D359B1"/>
    <w:rsid w:val="16DC6856"/>
    <w:rsid w:val="16DD4222"/>
    <w:rsid w:val="16E27616"/>
    <w:rsid w:val="16E7220A"/>
    <w:rsid w:val="16EA1B45"/>
    <w:rsid w:val="16F7773E"/>
    <w:rsid w:val="16FD7F89"/>
    <w:rsid w:val="170133DA"/>
    <w:rsid w:val="170259E1"/>
    <w:rsid w:val="17026088"/>
    <w:rsid w:val="170353FD"/>
    <w:rsid w:val="17056BCC"/>
    <w:rsid w:val="170A2668"/>
    <w:rsid w:val="170D2623"/>
    <w:rsid w:val="171053FC"/>
    <w:rsid w:val="1715378E"/>
    <w:rsid w:val="17256955"/>
    <w:rsid w:val="17282A0F"/>
    <w:rsid w:val="172B6CEB"/>
    <w:rsid w:val="17343071"/>
    <w:rsid w:val="17350245"/>
    <w:rsid w:val="17382580"/>
    <w:rsid w:val="174769BD"/>
    <w:rsid w:val="174C7083"/>
    <w:rsid w:val="174D3983"/>
    <w:rsid w:val="17551F5F"/>
    <w:rsid w:val="17595246"/>
    <w:rsid w:val="175A35A2"/>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877BD"/>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C3761"/>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D756E8"/>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116CC"/>
    <w:rsid w:val="198374F4"/>
    <w:rsid w:val="1989194D"/>
    <w:rsid w:val="19894C83"/>
    <w:rsid w:val="19934ED4"/>
    <w:rsid w:val="19975539"/>
    <w:rsid w:val="199931D5"/>
    <w:rsid w:val="199A5E64"/>
    <w:rsid w:val="19A7296F"/>
    <w:rsid w:val="19B94DE5"/>
    <w:rsid w:val="19BB7983"/>
    <w:rsid w:val="19CA4702"/>
    <w:rsid w:val="19D76F77"/>
    <w:rsid w:val="19DE7440"/>
    <w:rsid w:val="19E05693"/>
    <w:rsid w:val="19E75699"/>
    <w:rsid w:val="19E8168E"/>
    <w:rsid w:val="19EB0110"/>
    <w:rsid w:val="19ED386F"/>
    <w:rsid w:val="19FA215B"/>
    <w:rsid w:val="19FF1298"/>
    <w:rsid w:val="1A045B87"/>
    <w:rsid w:val="1A12223D"/>
    <w:rsid w:val="1A210157"/>
    <w:rsid w:val="1A2261CA"/>
    <w:rsid w:val="1A2B7B36"/>
    <w:rsid w:val="1A2D5E93"/>
    <w:rsid w:val="1A366A86"/>
    <w:rsid w:val="1A39320C"/>
    <w:rsid w:val="1A444F6D"/>
    <w:rsid w:val="1A483BED"/>
    <w:rsid w:val="1A484A02"/>
    <w:rsid w:val="1A49165D"/>
    <w:rsid w:val="1A4D1CE1"/>
    <w:rsid w:val="1A5463A5"/>
    <w:rsid w:val="1A5760FC"/>
    <w:rsid w:val="1A5B0C0F"/>
    <w:rsid w:val="1A5F7253"/>
    <w:rsid w:val="1A64521C"/>
    <w:rsid w:val="1A646712"/>
    <w:rsid w:val="1A6A0EEA"/>
    <w:rsid w:val="1A6D22C8"/>
    <w:rsid w:val="1A722BB4"/>
    <w:rsid w:val="1A725418"/>
    <w:rsid w:val="1A7642CC"/>
    <w:rsid w:val="1A7A2EF9"/>
    <w:rsid w:val="1A7E1D3B"/>
    <w:rsid w:val="1A7F4EDC"/>
    <w:rsid w:val="1A813E2C"/>
    <w:rsid w:val="1A8330CF"/>
    <w:rsid w:val="1A8F2FDB"/>
    <w:rsid w:val="1A960E81"/>
    <w:rsid w:val="1A972C69"/>
    <w:rsid w:val="1A9A0C93"/>
    <w:rsid w:val="1AAE012D"/>
    <w:rsid w:val="1AB02AE4"/>
    <w:rsid w:val="1AB359A1"/>
    <w:rsid w:val="1AB710D0"/>
    <w:rsid w:val="1ABC0283"/>
    <w:rsid w:val="1ABD31B9"/>
    <w:rsid w:val="1ABF3A95"/>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551D7"/>
    <w:rsid w:val="1B5A776D"/>
    <w:rsid w:val="1B5D3106"/>
    <w:rsid w:val="1B600FD4"/>
    <w:rsid w:val="1B71705F"/>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45CB5"/>
    <w:rsid w:val="1BCA7505"/>
    <w:rsid w:val="1BCF1C70"/>
    <w:rsid w:val="1BD2055E"/>
    <w:rsid w:val="1BD91032"/>
    <w:rsid w:val="1BE4439E"/>
    <w:rsid w:val="1BEF7D4B"/>
    <w:rsid w:val="1BF36000"/>
    <w:rsid w:val="1BF768CD"/>
    <w:rsid w:val="1BF92025"/>
    <w:rsid w:val="1BF9326D"/>
    <w:rsid w:val="1BF95F4D"/>
    <w:rsid w:val="1C036FDA"/>
    <w:rsid w:val="1C071F0A"/>
    <w:rsid w:val="1C0730F3"/>
    <w:rsid w:val="1C08111C"/>
    <w:rsid w:val="1C0B33CB"/>
    <w:rsid w:val="1C0D0258"/>
    <w:rsid w:val="1C0D60C9"/>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91A78"/>
    <w:rsid w:val="1C6973F2"/>
    <w:rsid w:val="1C6D4144"/>
    <w:rsid w:val="1C726EC3"/>
    <w:rsid w:val="1C793EB9"/>
    <w:rsid w:val="1C807142"/>
    <w:rsid w:val="1C86212B"/>
    <w:rsid w:val="1C90266F"/>
    <w:rsid w:val="1C9A166E"/>
    <w:rsid w:val="1CA16CCE"/>
    <w:rsid w:val="1CAA7318"/>
    <w:rsid w:val="1CAC31DE"/>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D6A68"/>
    <w:rsid w:val="1D1F1D0C"/>
    <w:rsid w:val="1D2054C4"/>
    <w:rsid w:val="1D207953"/>
    <w:rsid w:val="1D24658B"/>
    <w:rsid w:val="1D2E77E8"/>
    <w:rsid w:val="1D395943"/>
    <w:rsid w:val="1D395E48"/>
    <w:rsid w:val="1D415CFB"/>
    <w:rsid w:val="1D4175C9"/>
    <w:rsid w:val="1D4969F4"/>
    <w:rsid w:val="1D4C117F"/>
    <w:rsid w:val="1D503598"/>
    <w:rsid w:val="1D511EFF"/>
    <w:rsid w:val="1D513E68"/>
    <w:rsid w:val="1D563E2F"/>
    <w:rsid w:val="1D5800F6"/>
    <w:rsid w:val="1D5A17CD"/>
    <w:rsid w:val="1D6033FE"/>
    <w:rsid w:val="1D684015"/>
    <w:rsid w:val="1D6C4B2E"/>
    <w:rsid w:val="1D6E2004"/>
    <w:rsid w:val="1D6F79AF"/>
    <w:rsid w:val="1D736825"/>
    <w:rsid w:val="1D7C6E19"/>
    <w:rsid w:val="1D811A99"/>
    <w:rsid w:val="1D855204"/>
    <w:rsid w:val="1D8B0CD1"/>
    <w:rsid w:val="1D8F5B72"/>
    <w:rsid w:val="1D8F6826"/>
    <w:rsid w:val="1D9C5DA0"/>
    <w:rsid w:val="1D9C7126"/>
    <w:rsid w:val="1D9F42F8"/>
    <w:rsid w:val="1D9F462B"/>
    <w:rsid w:val="1DA265B5"/>
    <w:rsid w:val="1DB26ED0"/>
    <w:rsid w:val="1DB718C8"/>
    <w:rsid w:val="1DB835A9"/>
    <w:rsid w:val="1DC603E1"/>
    <w:rsid w:val="1DE51DEE"/>
    <w:rsid w:val="1DEC45ED"/>
    <w:rsid w:val="1DF0709E"/>
    <w:rsid w:val="1DF2745E"/>
    <w:rsid w:val="1E015738"/>
    <w:rsid w:val="1E052C04"/>
    <w:rsid w:val="1E093D7D"/>
    <w:rsid w:val="1E1D7E95"/>
    <w:rsid w:val="1E201A27"/>
    <w:rsid w:val="1E224747"/>
    <w:rsid w:val="1E2F39E4"/>
    <w:rsid w:val="1E304B88"/>
    <w:rsid w:val="1E370E3F"/>
    <w:rsid w:val="1E3E02E7"/>
    <w:rsid w:val="1E5F4408"/>
    <w:rsid w:val="1E612E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B972D4"/>
    <w:rsid w:val="1EC11B39"/>
    <w:rsid w:val="1EC34F21"/>
    <w:rsid w:val="1EC80437"/>
    <w:rsid w:val="1ECA2082"/>
    <w:rsid w:val="1ECE4741"/>
    <w:rsid w:val="1ED15DFD"/>
    <w:rsid w:val="1ED8006D"/>
    <w:rsid w:val="1ED81863"/>
    <w:rsid w:val="1ED874EC"/>
    <w:rsid w:val="1ED94E25"/>
    <w:rsid w:val="1EDB6C5F"/>
    <w:rsid w:val="1EE36B24"/>
    <w:rsid w:val="1EE6740D"/>
    <w:rsid w:val="1EEC1621"/>
    <w:rsid w:val="1EED7A29"/>
    <w:rsid w:val="1EF21F94"/>
    <w:rsid w:val="1EF5594C"/>
    <w:rsid w:val="1F0D14F3"/>
    <w:rsid w:val="1F141EF2"/>
    <w:rsid w:val="1F303EA7"/>
    <w:rsid w:val="1F30637A"/>
    <w:rsid w:val="1F3111CE"/>
    <w:rsid w:val="1F3C6AF7"/>
    <w:rsid w:val="1F3D2A57"/>
    <w:rsid w:val="1F405E44"/>
    <w:rsid w:val="1F433DA6"/>
    <w:rsid w:val="1F4A3D83"/>
    <w:rsid w:val="1F4D0904"/>
    <w:rsid w:val="1F4E681F"/>
    <w:rsid w:val="1F5324C1"/>
    <w:rsid w:val="1F561E2A"/>
    <w:rsid w:val="1F59018E"/>
    <w:rsid w:val="1F5912ED"/>
    <w:rsid w:val="1F5E088A"/>
    <w:rsid w:val="1F6145BF"/>
    <w:rsid w:val="1F661994"/>
    <w:rsid w:val="1F672A0E"/>
    <w:rsid w:val="1F6833F6"/>
    <w:rsid w:val="1F68659A"/>
    <w:rsid w:val="1F735BB8"/>
    <w:rsid w:val="1F7959F4"/>
    <w:rsid w:val="1F7C19E4"/>
    <w:rsid w:val="1F7C72E1"/>
    <w:rsid w:val="1F7E2221"/>
    <w:rsid w:val="1F83562C"/>
    <w:rsid w:val="1F8416CE"/>
    <w:rsid w:val="1F880725"/>
    <w:rsid w:val="1F8A5F10"/>
    <w:rsid w:val="1FA12A08"/>
    <w:rsid w:val="1FA82FF9"/>
    <w:rsid w:val="1FAC192E"/>
    <w:rsid w:val="1FAD796D"/>
    <w:rsid w:val="1FB260BE"/>
    <w:rsid w:val="1FB54204"/>
    <w:rsid w:val="1FB63655"/>
    <w:rsid w:val="1FBD7AAE"/>
    <w:rsid w:val="1FBE77B2"/>
    <w:rsid w:val="1FBE7BB6"/>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1F79F4"/>
    <w:rsid w:val="20275ED1"/>
    <w:rsid w:val="202A3EFD"/>
    <w:rsid w:val="20370D60"/>
    <w:rsid w:val="203B1416"/>
    <w:rsid w:val="203C2005"/>
    <w:rsid w:val="20420995"/>
    <w:rsid w:val="20447B3E"/>
    <w:rsid w:val="204625C3"/>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16F3B"/>
    <w:rsid w:val="20C261C8"/>
    <w:rsid w:val="20C57B58"/>
    <w:rsid w:val="20C96FD1"/>
    <w:rsid w:val="20CC2666"/>
    <w:rsid w:val="20D562D7"/>
    <w:rsid w:val="20D77C04"/>
    <w:rsid w:val="20D957D0"/>
    <w:rsid w:val="20DA5281"/>
    <w:rsid w:val="20DB6325"/>
    <w:rsid w:val="20E35BDE"/>
    <w:rsid w:val="20E416D2"/>
    <w:rsid w:val="20E9348D"/>
    <w:rsid w:val="20EB3474"/>
    <w:rsid w:val="20EC17FA"/>
    <w:rsid w:val="20EF451E"/>
    <w:rsid w:val="20F667B9"/>
    <w:rsid w:val="20F817C8"/>
    <w:rsid w:val="20F90A4D"/>
    <w:rsid w:val="20FB7568"/>
    <w:rsid w:val="21065641"/>
    <w:rsid w:val="210D2CDA"/>
    <w:rsid w:val="2114364F"/>
    <w:rsid w:val="211C7EF8"/>
    <w:rsid w:val="21230E3D"/>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97915"/>
    <w:rsid w:val="219B2AEE"/>
    <w:rsid w:val="219D1871"/>
    <w:rsid w:val="219D3F2A"/>
    <w:rsid w:val="21AB4F6A"/>
    <w:rsid w:val="21AB77F7"/>
    <w:rsid w:val="21AD30AE"/>
    <w:rsid w:val="21AE326A"/>
    <w:rsid w:val="21B50181"/>
    <w:rsid w:val="21B50781"/>
    <w:rsid w:val="21BF03BC"/>
    <w:rsid w:val="21BF480E"/>
    <w:rsid w:val="21C97282"/>
    <w:rsid w:val="21CA711F"/>
    <w:rsid w:val="21CB0E2A"/>
    <w:rsid w:val="21CE398F"/>
    <w:rsid w:val="21D06D34"/>
    <w:rsid w:val="21D372BD"/>
    <w:rsid w:val="21D47A13"/>
    <w:rsid w:val="21D52CEC"/>
    <w:rsid w:val="21D83EFE"/>
    <w:rsid w:val="21E00155"/>
    <w:rsid w:val="21E34ACF"/>
    <w:rsid w:val="21E93C9A"/>
    <w:rsid w:val="21EA6483"/>
    <w:rsid w:val="21F54612"/>
    <w:rsid w:val="21F629D7"/>
    <w:rsid w:val="21FB5D41"/>
    <w:rsid w:val="21FD0ACD"/>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F5037"/>
    <w:rsid w:val="228041D7"/>
    <w:rsid w:val="228A008B"/>
    <w:rsid w:val="228D63FC"/>
    <w:rsid w:val="229A7E25"/>
    <w:rsid w:val="22A62549"/>
    <w:rsid w:val="22A84530"/>
    <w:rsid w:val="22AA0362"/>
    <w:rsid w:val="22AA773F"/>
    <w:rsid w:val="22B059F5"/>
    <w:rsid w:val="22B06BDB"/>
    <w:rsid w:val="22B368A4"/>
    <w:rsid w:val="22B63FB8"/>
    <w:rsid w:val="22BA2D5C"/>
    <w:rsid w:val="22BC7DF2"/>
    <w:rsid w:val="22BD19A6"/>
    <w:rsid w:val="22BD504B"/>
    <w:rsid w:val="22D61781"/>
    <w:rsid w:val="22DA2A44"/>
    <w:rsid w:val="22DF2433"/>
    <w:rsid w:val="22E30977"/>
    <w:rsid w:val="22E95A8D"/>
    <w:rsid w:val="22F017B2"/>
    <w:rsid w:val="22F7088E"/>
    <w:rsid w:val="22F97E5B"/>
    <w:rsid w:val="22FA0267"/>
    <w:rsid w:val="22FA647A"/>
    <w:rsid w:val="23042520"/>
    <w:rsid w:val="230B07F6"/>
    <w:rsid w:val="231429BD"/>
    <w:rsid w:val="23143B37"/>
    <w:rsid w:val="231544D3"/>
    <w:rsid w:val="2315496B"/>
    <w:rsid w:val="231637F9"/>
    <w:rsid w:val="231D0921"/>
    <w:rsid w:val="23230E78"/>
    <w:rsid w:val="23246F49"/>
    <w:rsid w:val="232A7369"/>
    <w:rsid w:val="232C19D8"/>
    <w:rsid w:val="232C27B2"/>
    <w:rsid w:val="232C343E"/>
    <w:rsid w:val="232E7AA0"/>
    <w:rsid w:val="232F4B8E"/>
    <w:rsid w:val="233027B0"/>
    <w:rsid w:val="23415924"/>
    <w:rsid w:val="234E3759"/>
    <w:rsid w:val="23566DDF"/>
    <w:rsid w:val="23572E7E"/>
    <w:rsid w:val="235924CA"/>
    <w:rsid w:val="23592D87"/>
    <w:rsid w:val="235F162F"/>
    <w:rsid w:val="23633D78"/>
    <w:rsid w:val="23645808"/>
    <w:rsid w:val="23673863"/>
    <w:rsid w:val="236A053E"/>
    <w:rsid w:val="236D4F13"/>
    <w:rsid w:val="23752F81"/>
    <w:rsid w:val="237B7D6C"/>
    <w:rsid w:val="23837B67"/>
    <w:rsid w:val="23857493"/>
    <w:rsid w:val="238755B6"/>
    <w:rsid w:val="23885214"/>
    <w:rsid w:val="238B65DE"/>
    <w:rsid w:val="239130F2"/>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304B2"/>
    <w:rsid w:val="23E52298"/>
    <w:rsid w:val="23E62274"/>
    <w:rsid w:val="23EA16A4"/>
    <w:rsid w:val="23F06611"/>
    <w:rsid w:val="240E5D2B"/>
    <w:rsid w:val="24137B5B"/>
    <w:rsid w:val="24176341"/>
    <w:rsid w:val="24194B93"/>
    <w:rsid w:val="24211333"/>
    <w:rsid w:val="242461D7"/>
    <w:rsid w:val="24255B0A"/>
    <w:rsid w:val="242778EB"/>
    <w:rsid w:val="24293DA8"/>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77759"/>
    <w:rsid w:val="24AA12CE"/>
    <w:rsid w:val="24AC41BF"/>
    <w:rsid w:val="24B7747E"/>
    <w:rsid w:val="24B826AF"/>
    <w:rsid w:val="24B93780"/>
    <w:rsid w:val="24BD38BA"/>
    <w:rsid w:val="24C0685F"/>
    <w:rsid w:val="24C3150C"/>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104D7"/>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64A86"/>
    <w:rsid w:val="256D18C0"/>
    <w:rsid w:val="257103C5"/>
    <w:rsid w:val="25731799"/>
    <w:rsid w:val="25771B32"/>
    <w:rsid w:val="257C1A72"/>
    <w:rsid w:val="257F18B5"/>
    <w:rsid w:val="25805FF5"/>
    <w:rsid w:val="258A3283"/>
    <w:rsid w:val="258E66DC"/>
    <w:rsid w:val="258F15BB"/>
    <w:rsid w:val="259231BD"/>
    <w:rsid w:val="259E27F9"/>
    <w:rsid w:val="25A77DD4"/>
    <w:rsid w:val="25AE0C1E"/>
    <w:rsid w:val="25BB6C64"/>
    <w:rsid w:val="25C62FF8"/>
    <w:rsid w:val="25C87522"/>
    <w:rsid w:val="25C97301"/>
    <w:rsid w:val="25CA25E2"/>
    <w:rsid w:val="25CC4C1C"/>
    <w:rsid w:val="25CD7961"/>
    <w:rsid w:val="25CE2779"/>
    <w:rsid w:val="25D04D30"/>
    <w:rsid w:val="25D04E3B"/>
    <w:rsid w:val="25D444E2"/>
    <w:rsid w:val="25D64403"/>
    <w:rsid w:val="25D77ABA"/>
    <w:rsid w:val="25E0605D"/>
    <w:rsid w:val="25E6794F"/>
    <w:rsid w:val="25E8244D"/>
    <w:rsid w:val="25EB7CD4"/>
    <w:rsid w:val="25EC1954"/>
    <w:rsid w:val="25F04B7D"/>
    <w:rsid w:val="25F51596"/>
    <w:rsid w:val="25F67042"/>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AD74DD"/>
    <w:rsid w:val="26B73E1A"/>
    <w:rsid w:val="26BA59F2"/>
    <w:rsid w:val="26C17603"/>
    <w:rsid w:val="26C34D36"/>
    <w:rsid w:val="26C36DE5"/>
    <w:rsid w:val="26C9404D"/>
    <w:rsid w:val="26CD53A8"/>
    <w:rsid w:val="26CF7F64"/>
    <w:rsid w:val="26D323BB"/>
    <w:rsid w:val="26D45590"/>
    <w:rsid w:val="26DD5074"/>
    <w:rsid w:val="26E474B8"/>
    <w:rsid w:val="26E550C8"/>
    <w:rsid w:val="26F40E3F"/>
    <w:rsid w:val="26F40EBD"/>
    <w:rsid w:val="26F4591F"/>
    <w:rsid w:val="26F85687"/>
    <w:rsid w:val="26FA2DE3"/>
    <w:rsid w:val="26FB31A7"/>
    <w:rsid w:val="26FF74CD"/>
    <w:rsid w:val="270F2C9A"/>
    <w:rsid w:val="27125B0D"/>
    <w:rsid w:val="27130E1A"/>
    <w:rsid w:val="27222699"/>
    <w:rsid w:val="272A3F42"/>
    <w:rsid w:val="273216D6"/>
    <w:rsid w:val="273D1CBA"/>
    <w:rsid w:val="27462901"/>
    <w:rsid w:val="2746542E"/>
    <w:rsid w:val="2749419F"/>
    <w:rsid w:val="274A7B1A"/>
    <w:rsid w:val="275439E1"/>
    <w:rsid w:val="275658F1"/>
    <w:rsid w:val="2758164A"/>
    <w:rsid w:val="27591594"/>
    <w:rsid w:val="27623F77"/>
    <w:rsid w:val="276320D7"/>
    <w:rsid w:val="27712E3B"/>
    <w:rsid w:val="278A6416"/>
    <w:rsid w:val="278F2C0D"/>
    <w:rsid w:val="279408D2"/>
    <w:rsid w:val="279A2ED3"/>
    <w:rsid w:val="27A23025"/>
    <w:rsid w:val="27A46397"/>
    <w:rsid w:val="27A748C6"/>
    <w:rsid w:val="27B02558"/>
    <w:rsid w:val="27B03EC1"/>
    <w:rsid w:val="27B91021"/>
    <w:rsid w:val="27BB189C"/>
    <w:rsid w:val="27C06D17"/>
    <w:rsid w:val="27C66099"/>
    <w:rsid w:val="27CA7CDA"/>
    <w:rsid w:val="27DA7F6E"/>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06A0F"/>
    <w:rsid w:val="28553E1D"/>
    <w:rsid w:val="286762D4"/>
    <w:rsid w:val="28693318"/>
    <w:rsid w:val="286B3B61"/>
    <w:rsid w:val="28765DD5"/>
    <w:rsid w:val="28821314"/>
    <w:rsid w:val="28846F09"/>
    <w:rsid w:val="288A2ABA"/>
    <w:rsid w:val="2891501A"/>
    <w:rsid w:val="28937E6D"/>
    <w:rsid w:val="28940DE5"/>
    <w:rsid w:val="28977A18"/>
    <w:rsid w:val="28991FE9"/>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70461"/>
    <w:rsid w:val="28DA6C60"/>
    <w:rsid w:val="28DB0A30"/>
    <w:rsid w:val="28DC45F0"/>
    <w:rsid w:val="28EC3E71"/>
    <w:rsid w:val="28F33F0D"/>
    <w:rsid w:val="28F46DC1"/>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B5347"/>
    <w:rsid w:val="293F6F6B"/>
    <w:rsid w:val="29425246"/>
    <w:rsid w:val="2946144E"/>
    <w:rsid w:val="2946760C"/>
    <w:rsid w:val="29496DE2"/>
    <w:rsid w:val="294A5BC8"/>
    <w:rsid w:val="294B5866"/>
    <w:rsid w:val="29504176"/>
    <w:rsid w:val="29644337"/>
    <w:rsid w:val="296865F6"/>
    <w:rsid w:val="296B20A7"/>
    <w:rsid w:val="29786858"/>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54FAC"/>
    <w:rsid w:val="29E64370"/>
    <w:rsid w:val="29E765AE"/>
    <w:rsid w:val="29EB2636"/>
    <w:rsid w:val="29ED4F50"/>
    <w:rsid w:val="29F26903"/>
    <w:rsid w:val="29F975AA"/>
    <w:rsid w:val="29FE4DE2"/>
    <w:rsid w:val="2A06427E"/>
    <w:rsid w:val="2A0F0A7B"/>
    <w:rsid w:val="2A0F1A72"/>
    <w:rsid w:val="2A0F7591"/>
    <w:rsid w:val="2A13176E"/>
    <w:rsid w:val="2A1842A1"/>
    <w:rsid w:val="2A216713"/>
    <w:rsid w:val="2A220953"/>
    <w:rsid w:val="2A222BC6"/>
    <w:rsid w:val="2A3056F6"/>
    <w:rsid w:val="2A315777"/>
    <w:rsid w:val="2A3B063B"/>
    <w:rsid w:val="2A3B3894"/>
    <w:rsid w:val="2A3D3959"/>
    <w:rsid w:val="2A4467DF"/>
    <w:rsid w:val="2A49761F"/>
    <w:rsid w:val="2A4A6198"/>
    <w:rsid w:val="2A4C74B8"/>
    <w:rsid w:val="2A4F49D1"/>
    <w:rsid w:val="2A500712"/>
    <w:rsid w:val="2A5F2A54"/>
    <w:rsid w:val="2A627A42"/>
    <w:rsid w:val="2A630308"/>
    <w:rsid w:val="2A676AD0"/>
    <w:rsid w:val="2A687AA6"/>
    <w:rsid w:val="2A6A2073"/>
    <w:rsid w:val="2A7477E7"/>
    <w:rsid w:val="2A770CC7"/>
    <w:rsid w:val="2A7A022E"/>
    <w:rsid w:val="2A822612"/>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D7EF6"/>
    <w:rsid w:val="2ADE08F8"/>
    <w:rsid w:val="2ADE1583"/>
    <w:rsid w:val="2AE061A5"/>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42025A"/>
    <w:rsid w:val="2B450516"/>
    <w:rsid w:val="2B4526E2"/>
    <w:rsid w:val="2B4722C4"/>
    <w:rsid w:val="2B592A46"/>
    <w:rsid w:val="2B5B7165"/>
    <w:rsid w:val="2B5F6470"/>
    <w:rsid w:val="2B611B55"/>
    <w:rsid w:val="2B686C09"/>
    <w:rsid w:val="2B7238A6"/>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005667"/>
    <w:rsid w:val="2C00660E"/>
    <w:rsid w:val="2C066F22"/>
    <w:rsid w:val="2C11705A"/>
    <w:rsid w:val="2C1216FD"/>
    <w:rsid w:val="2C1F2C4F"/>
    <w:rsid w:val="2C253658"/>
    <w:rsid w:val="2C395B9E"/>
    <w:rsid w:val="2C3D08A6"/>
    <w:rsid w:val="2C3F5308"/>
    <w:rsid w:val="2C416890"/>
    <w:rsid w:val="2C4725E8"/>
    <w:rsid w:val="2C4D767D"/>
    <w:rsid w:val="2C5019AB"/>
    <w:rsid w:val="2C5514C6"/>
    <w:rsid w:val="2C557643"/>
    <w:rsid w:val="2C5B6D3D"/>
    <w:rsid w:val="2C5C2032"/>
    <w:rsid w:val="2C5E21B4"/>
    <w:rsid w:val="2C5F0C97"/>
    <w:rsid w:val="2C677A44"/>
    <w:rsid w:val="2C6B4038"/>
    <w:rsid w:val="2C72088D"/>
    <w:rsid w:val="2C7A3BB0"/>
    <w:rsid w:val="2C7B3727"/>
    <w:rsid w:val="2C7D6665"/>
    <w:rsid w:val="2C7E4570"/>
    <w:rsid w:val="2C865A05"/>
    <w:rsid w:val="2C8B0557"/>
    <w:rsid w:val="2C9A28D3"/>
    <w:rsid w:val="2C9F4893"/>
    <w:rsid w:val="2CA171FA"/>
    <w:rsid w:val="2CAB40A2"/>
    <w:rsid w:val="2CB92D8C"/>
    <w:rsid w:val="2CBC4209"/>
    <w:rsid w:val="2CC12D54"/>
    <w:rsid w:val="2CC9742A"/>
    <w:rsid w:val="2CCB3003"/>
    <w:rsid w:val="2CD348F2"/>
    <w:rsid w:val="2CDA4FDA"/>
    <w:rsid w:val="2CDC7091"/>
    <w:rsid w:val="2CE128DC"/>
    <w:rsid w:val="2CE16D71"/>
    <w:rsid w:val="2CEF5F6D"/>
    <w:rsid w:val="2CF4201A"/>
    <w:rsid w:val="2CFD5C64"/>
    <w:rsid w:val="2D011F6B"/>
    <w:rsid w:val="2D0128E8"/>
    <w:rsid w:val="2D0450C7"/>
    <w:rsid w:val="2D0879C2"/>
    <w:rsid w:val="2D0C5A2F"/>
    <w:rsid w:val="2D0E231B"/>
    <w:rsid w:val="2D0F5EB7"/>
    <w:rsid w:val="2D145154"/>
    <w:rsid w:val="2D151059"/>
    <w:rsid w:val="2D1A1A6B"/>
    <w:rsid w:val="2D1A4915"/>
    <w:rsid w:val="2D306B85"/>
    <w:rsid w:val="2D323D75"/>
    <w:rsid w:val="2D400A9F"/>
    <w:rsid w:val="2D41155E"/>
    <w:rsid w:val="2D5058E5"/>
    <w:rsid w:val="2D540857"/>
    <w:rsid w:val="2D590555"/>
    <w:rsid w:val="2D726428"/>
    <w:rsid w:val="2D7A06F1"/>
    <w:rsid w:val="2D8151A4"/>
    <w:rsid w:val="2D8A0235"/>
    <w:rsid w:val="2DA02E9C"/>
    <w:rsid w:val="2DAD384B"/>
    <w:rsid w:val="2DB36FD6"/>
    <w:rsid w:val="2DBB1852"/>
    <w:rsid w:val="2DBB7AE7"/>
    <w:rsid w:val="2DBF0C3E"/>
    <w:rsid w:val="2DBF1601"/>
    <w:rsid w:val="2DBF4C3A"/>
    <w:rsid w:val="2DC12127"/>
    <w:rsid w:val="2DC464AC"/>
    <w:rsid w:val="2DC90F16"/>
    <w:rsid w:val="2DD06AF3"/>
    <w:rsid w:val="2DDD1D4C"/>
    <w:rsid w:val="2DE1625D"/>
    <w:rsid w:val="2DE27FBB"/>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B5B1C"/>
    <w:rsid w:val="2E5E36A7"/>
    <w:rsid w:val="2E60031D"/>
    <w:rsid w:val="2E6B29AA"/>
    <w:rsid w:val="2E6F4813"/>
    <w:rsid w:val="2E705752"/>
    <w:rsid w:val="2E7622E7"/>
    <w:rsid w:val="2E765710"/>
    <w:rsid w:val="2E7805E9"/>
    <w:rsid w:val="2E7A5E34"/>
    <w:rsid w:val="2E7B65BB"/>
    <w:rsid w:val="2E7C0E30"/>
    <w:rsid w:val="2E855C37"/>
    <w:rsid w:val="2E8863A8"/>
    <w:rsid w:val="2E8C14AE"/>
    <w:rsid w:val="2E8F09A4"/>
    <w:rsid w:val="2E993370"/>
    <w:rsid w:val="2E9A086A"/>
    <w:rsid w:val="2EA049A8"/>
    <w:rsid w:val="2EA26ABE"/>
    <w:rsid w:val="2EA72F10"/>
    <w:rsid w:val="2EA74B75"/>
    <w:rsid w:val="2EB1470F"/>
    <w:rsid w:val="2EB4369B"/>
    <w:rsid w:val="2EB61295"/>
    <w:rsid w:val="2EC20584"/>
    <w:rsid w:val="2EC414ED"/>
    <w:rsid w:val="2EC71A13"/>
    <w:rsid w:val="2ED639BF"/>
    <w:rsid w:val="2EDC714E"/>
    <w:rsid w:val="2EEA307E"/>
    <w:rsid w:val="2EEF6737"/>
    <w:rsid w:val="2EF179AF"/>
    <w:rsid w:val="2EF276DC"/>
    <w:rsid w:val="2EF53C20"/>
    <w:rsid w:val="2EF95B79"/>
    <w:rsid w:val="2EFC49C3"/>
    <w:rsid w:val="2EFC5DDD"/>
    <w:rsid w:val="2F002CCF"/>
    <w:rsid w:val="2F0160A3"/>
    <w:rsid w:val="2F0B0B20"/>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640C4"/>
    <w:rsid w:val="2F8B6940"/>
    <w:rsid w:val="2F8E5F5C"/>
    <w:rsid w:val="2F921FAC"/>
    <w:rsid w:val="2F9761A6"/>
    <w:rsid w:val="2F9947FD"/>
    <w:rsid w:val="2F9C26A3"/>
    <w:rsid w:val="2F9F2F9A"/>
    <w:rsid w:val="2FA21231"/>
    <w:rsid w:val="2FAD4759"/>
    <w:rsid w:val="2FAD5866"/>
    <w:rsid w:val="2FCA0967"/>
    <w:rsid w:val="2FCC5C17"/>
    <w:rsid w:val="2FD84674"/>
    <w:rsid w:val="2FDB17E1"/>
    <w:rsid w:val="2FDE6619"/>
    <w:rsid w:val="2FDF7BB5"/>
    <w:rsid w:val="2FE20568"/>
    <w:rsid w:val="2FE37171"/>
    <w:rsid w:val="2FF07167"/>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D6016"/>
    <w:rsid w:val="303F616B"/>
    <w:rsid w:val="3045713F"/>
    <w:rsid w:val="30486EA7"/>
    <w:rsid w:val="304975F4"/>
    <w:rsid w:val="304D0291"/>
    <w:rsid w:val="30500A5C"/>
    <w:rsid w:val="30587CD0"/>
    <w:rsid w:val="3065269C"/>
    <w:rsid w:val="306F4EC6"/>
    <w:rsid w:val="307374BD"/>
    <w:rsid w:val="30752E77"/>
    <w:rsid w:val="308018A6"/>
    <w:rsid w:val="30804E19"/>
    <w:rsid w:val="30852218"/>
    <w:rsid w:val="308B1ADD"/>
    <w:rsid w:val="308D7441"/>
    <w:rsid w:val="3090288F"/>
    <w:rsid w:val="309B0CFB"/>
    <w:rsid w:val="309B2EEC"/>
    <w:rsid w:val="309C0EE0"/>
    <w:rsid w:val="309C1FAB"/>
    <w:rsid w:val="309D4E87"/>
    <w:rsid w:val="309E4272"/>
    <w:rsid w:val="30A4336C"/>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001A3C"/>
    <w:rsid w:val="31137033"/>
    <w:rsid w:val="31197ABC"/>
    <w:rsid w:val="311D5B14"/>
    <w:rsid w:val="3129246F"/>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06477"/>
    <w:rsid w:val="31647576"/>
    <w:rsid w:val="31665E5D"/>
    <w:rsid w:val="31672771"/>
    <w:rsid w:val="316761A2"/>
    <w:rsid w:val="31696465"/>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0A4AAF"/>
    <w:rsid w:val="3215428D"/>
    <w:rsid w:val="321E250B"/>
    <w:rsid w:val="32226597"/>
    <w:rsid w:val="322A5516"/>
    <w:rsid w:val="322C6DC4"/>
    <w:rsid w:val="3238698E"/>
    <w:rsid w:val="32482531"/>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8B04AD"/>
    <w:rsid w:val="32913845"/>
    <w:rsid w:val="32932847"/>
    <w:rsid w:val="32946A84"/>
    <w:rsid w:val="32960554"/>
    <w:rsid w:val="32A95E32"/>
    <w:rsid w:val="32AC0E4E"/>
    <w:rsid w:val="32B22C9D"/>
    <w:rsid w:val="32B66E0D"/>
    <w:rsid w:val="32BC6631"/>
    <w:rsid w:val="32BE6CD4"/>
    <w:rsid w:val="32C05B65"/>
    <w:rsid w:val="32C10AC0"/>
    <w:rsid w:val="32C6418D"/>
    <w:rsid w:val="32CD6861"/>
    <w:rsid w:val="32D14A7F"/>
    <w:rsid w:val="32D26AE6"/>
    <w:rsid w:val="32D733FA"/>
    <w:rsid w:val="32DE353D"/>
    <w:rsid w:val="32E148E8"/>
    <w:rsid w:val="32E343F6"/>
    <w:rsid w:val="32E732FF"/>
    <w:rsid w:val="32E921F0"/>
    <w:rsid w:val="32F14018"/>
    <w:rsid w:val="32F20290"/>
    <w:rsid w:val="32F76D5D"/>
    <w:rsid w:val="32F86450"/>
    <w:rsid w:val="330244A4"/>
    <w:rsid w:val="330F1E44"/>
    <w:rsid w:val="33152CB9"/>
    <w:rsid w:val="331747E7"/>
    <w:rsid w:val="331808B9"/>
    <w:rsid w:val="331B37C6"/>
    <w:rsid w:val="331C390F"/>
    <w:rsid w:val="33297E96"/>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D23401"/>
    <w:rsid w:val="33D451B9"/>
    <w:rsid w:val="33D50DEC"/>
    <w:rsid w:val="33D75268"/>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1F45"/>
    <w:rsid w:val="34182B66"/>
    <w:rsid w:val="34260D3D"/>
    <w:rsid w:val="342D3CE2"/>
    <w:rsid w:val="342E0B4C"/>
    <w:rsid w:val="34310E4C"/>
    <w:rsid w:val="343237F3"/>
    <w:rsid w:val="34343D6C"/>
    <w:rsid w:val="34347DC5"/>
    <w:rsid w:val="34380493"/>
    <w:rsid w:val="343A0D93"/>
    <w:rsid w:val="34463967"/>
    <w:rsid w:val="344C08D2"/>
    <w:rsid w:val="34552C9A"/>
    <w:rsid w:val="345543D1"/>
    <w:rsid w:val="345A7367"/>
    <w:rsid w:val="345D2CD0"/>
    <w:rsid w:val="346C0AEA"/>
    <w:rsid w:val="3473748E"/>
    <w:rsid w:val="347F540F"/>
    <w:rsid w:val="34863322"/>
    <w:rsid w:val="34885DB3"/>
    <w:rsid w:val="348F7A0E"/>
    <w:rsid w:val="349A0B7D"/>
    <w:rsid w:val="34A374C4"/>
    <w:rsid w:val="34A851E8"/>
    <w:rsid w:val="34B04A8D"/>
    <w:rsid w:val="34B51A96"/>
    <w:rsid w:val="34C800BD"/>
    <w:rsid w:val="34CC1DC7"/>
    <w:rsid w:val="34CE4218"/>
    <w:rsid w:val="34D47C8A"/>
    <w:rsid w:val="34D874E5"/>
    <w:rsid w:val="34DB0CAC"/>
    <w:rsid w:val="34DD3DF9"/>
    <w:rsid w:val="34E55171"/>
    <w:rsid w:val="34E5541E"/>
    <w:rsid w:val="34E8310A"/>
    <w:rsid w:val="34E972FC"/>
    <w:rsid w:val="34F83EF3"/>
    <w:rsid w:val="34F953E0"/>
    <w:rsid w:val="34FF2166"/>
    <w:rsid w:val="350518D8"/>
    <w:rsid w:val="350756C5"/>
    <w:rsid w:val="350B69C5"/>
    <w:rsid w:val="351C075B"/>
    <w:rsid w:val="35233F18"/>
    <w:rsid w:val="3524348B"/>
    <w:rsid w:val="3524389A"/>
    <w:rsid w:val="352550BC"/>
    <w:rsid w:val="35295D65"/>
    <w:rsid w:val="352B5169"/>
    <w:rsid w:val="35306D03"/>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51F68"/>
    <w:rsid w:val="35771AC2"/>
    <w:rsid w:val="357960B4"/>
    <w:rsid w:val="3584548F"/>
    <w:rsid w:val="358618B0"/>
    <w:rsid w:val="3589285D"/>
    <w:rsid w:val="35967ED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77EF8"/>
    <w:rsid w:val="361A2F27"/>
    <w:rsid w:val="36265F04"/>
    <w:rsid w:val="36266913"/>
    <w:rsid w:val="36297754"/>
    <w:rsid w:val="36303A19"/>
    <w:rsid w:val="363336CC"/>
    <w:rsid w:val="3638515D"/>
    <w:rsid w:val="363F4D43"/>
    <w:rsid w:val="36407BF2"/>
    <w:rsid w:val="364263A4"/>
    <w:rsid w:val="36486576"/>
    <w:rsid w:val="364B2312"/>
    <w:rsid w:val="364E471A"/>
    <w:rsid w:val="36510565"/>
    <w:rsid w:val="365433D6"/>
    <w:rsid w:val="365955CF"/>
    <w:rsid w:val="365F765A"/>
    <w:rsid w:val="36627C0A"/>
    <w:rsid w:val="36693B36"/>
    <w:rsid w:val="366B0AAA"/>
    <w:rsid w:val="366B6257"/>
    <w:rsid w:val="366D49A8"/>
    <w:rsid w:val="366D4FB2"/>
    <w:rsid w:val="36710F0D"/>
    <w:rsid w:val="36752210"/>
    <w:rsid w:val="36820E97"/>
    <w:rsid w:val="36884498"/>
    <w:rsid w:val="368D4BF2"/>
    <w:rsid w:val="36922B55"/>
    <w:rsid w:val="36991125"/>
    <w:rsid w:val="36A03E29"/>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44CBA"/>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06897"/>
    <w:rsid w:val="37527A81"/>
    <w:rsid w:val="37557969"/>
    <w:rsid w:val="375657F8"/>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11856"/>
    <w:rsid w:val="37C63934"/>
    <w:rsid w:val="37C93B72"/>
    <w:rsid w:val="37D40EF9"/>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4D14CC"/>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208C4"/>
    <w:rsid w:val="38C33701"/>
    <w:rsid w:val="38C43916"/>
    <w:rsid w:val="38D05F26"/>
    <w:rsid w:val="38D124F5"/>
    <w:rsid w:val="38D504F4"/>
    <w:rsid w:val="38D95A84"/>
    <w:rsid w:val="38DB6EDE"/>
    <w:rsid w:val="38E11AA1"/>
    <w:rsid w:val="38E45926"/>
    <w:rsid w:val="38E46191"/>
    <w:rsid w:val="38EB7945"/>
    <w:rsid w:val="38EC260C"/>
    <w:rsid w:val="38F0272D"/>
    <w:rsid w:val="38F50C85"/>
    <w:rsid w:val="39065A02"/>
    <w:rsid w:val="390667A6"/>
    <w:rsid w:val="39070217"/>
    <w:rsid w:val="39105718"/>
    <w:rsid w:val="39172F2B"/>
    <w:rsid w:val="391B4C7A"/>
    <w:rsid w:val="39206678"/>
    <w:rsid w:val="392A6C55"/>
    <w:rsid w:val="392B6A4C"/>
    <w:rsid w:val="39344929"/>
    <w:rsid w:val="393544DD"/>
    <w:rsid w:val="393962EC"/>
    <w:rsid w:val="393A5293"/>
    <w:rsid w:val="393F6CD7"/>
    <w:rsid w:val="39407D58"/>
    <w:rsid w:val="39457868"/>
    <w:rsid w:val="394935B8"/>
    <w:rsid w:val="394C557A"/>
    <w:rsid w:val="3952190F"/>
    <w:rsid w:val="395753F2"/>
    <w:rsid w:val="395811AF"/>
    <w:rsid w:val="39641D3E"/>
    <w:rsid w:val="39676A41"/>
    <w:rsid w:val="39686D44"/>
    <w:rsid w:val="39695DEF"/>
    <w:rsid w:val="397E700C"/>
    <w:rsid w:val="39834074"/>
    <w:rsid w:val="39885108"/>
    <w:rsid w:val="39907940"/>
    <w:rsid w:val="399602F5"/>
    <w:rsid w:val="399B5B0D"/>
    <w:rsid w:val="39A05979"/>
    <w:rsid w:val="39A354D2"/>
    <w:rsid w:val="39AB2E70"/>
    <w:rsid w:val="39BA6CF2"/>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B5D45"/>
    <w:rsid w:val="3A4D381F"/>
    <w:rsid w:val="3A5B48B2"/>
    <w:rsid w:val="3A616CAD"/>
    <w:rsid w:val="3A6B0AA5"/>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EC77CD"/>
    <w:rsid w:val="3AF932C9"/>
    <w:rsid w:val="3AFB09E1"/>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348EB"/>
    <w:rsid w:val="3B683A4D"/>
    <w:rsid w:val="3B6A3CF4"/>
    <w:rsid w:val="3B6D5AE8"/>
    <w:rsid w:val="3B6F5B73"/>
    <w:rsid w:val="3B70725E"/>
    <w:rsid w:val="3B714282"/>
    <w:rsid w:val="3B75184E"/>
    <w:rsid w:val="3B7B1D0B"/>
    <w:rsid w:val="3B823850"/>
    <w:rsid w:val="3B850B78"/>
    <w:rsid w:val="3B873119"/>
    <w:rsid w:val="3B996131"/>
    <w:rsid w:val="3B9C2663"/>
    <w:rsid w:val="3B9C285E"/>
    <w:rsid w:val="3BA17E84"/>
    <w:rsid w:val="3BA35FC1"/>
    <w:rsid w:val="3BA566FD"/>
    <w:rsid w:val="3BA7008A"/>
    <w:rsid w:val="3BB47D9F"/>
    <w:rsid w:val="3BBB5E32"/>
    <w:rsid w:val="3BBC6CD9"/>
    <w:rsid w:val="3BBD29ED"/>
    <w:rsid w:val="3BD039A1"/>
    <w:rsid w:val="3BDA79B4"/>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B5DD9"/>
    <w:rsid w:val="3C3D016E"/>
    <w:rsid w:val="3C413591"/>
    <w:rsid w:val="3C417829"/>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9F3106"/>
    <w:rsid w:val="3CA41337"/>
    <w:rsid w:val="3CA95FB0"/>
    <w:rsid w:val="3CAA38C3"/>
    <w:rsid w:val="3CAA5481"/>
    <w:rsid w:val="3CAC1109"/>
    <w:rsid w:val="3CB3301F"/>
    <w:rsid w:val="3CB338D6"/>
    <w:rsid w:val="3CB36CF4"/>
    <w:rsid w:val="3CB66971"/>
    <w:rsid w:val="3CB93D89"/>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E2886"/>
    <w:rsid w:val="3D0F1231"/>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070F"/>
    <w:rsid w:val="3DFF5ACE"/>
    <w:rsid w:val="3E0448CB"/>
    <w:rsid w:val="3E044EE2"/>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5E4169"/>
    <w:rsid w:val="3E623E46"/>
    <w:rsid w:val="3E63159D"/>
    <w:rsid w:val="3E650AFE"/>
    <w:rsid w:val="3E680BF1"/>
    <w:rsid w:val="3E6C12EF"/>
    <w:rsid w:val="3E6C5F2D"/>
    <w:rsid w:val="3E723E73"/>
    <w:rsid w:val="3E7A1C88"/>
    <w:rsid w:val="3E8071FA"/>
    <w:rsid w:val="3E88501B"/>
    <w:rsid w:val="3E8B095A"/>
    <w:rsid w:val="3E8D66A1"/>
    <w:rsid w:val="3E8E6C82"/>
    <w:rsid w:val="3E932D6A"/>
    <w:rsid w:val="3E942719"/>
    <w:rsid w:val="3E943FDD"/>
    <w:rsid w:val="3E957315"/>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D06E3"/>
    <w:rsid w:val="3ECF0F50"/>
    <w:rsid w:val="3ECF234A"/>
    <w:rsid w:val="3ED03828"/>
    <w:rsid w:val="3ED671CD"/>
    <w:rsid w:val="3EE14A57"/>
    <w:rsid w:val="3EE21263"/>
    <w:rsid w:val="3EEE24E9"/>
    <w:rsid w:val="3EF36AD8"/>
    <w:rsid w:val="3EF535E4"/>
    <w:rsid w:val="3EF62480"/>
    <w:rsid w:val="3EF82E77"/>
    <w:rsid w:val="3EF834F0"/>
    <w:rsid w:val="3EFB57DC"/>
    <w:rsid w:val="3F025FF7"/>
    <w:rsid w:val="3F034D62"/>
    <w:rsid w:val="3F0572F1"/>
    <w:rsid w:val="3F116E54"/>
    <w:rsid w:val="3F144192"/>
    <w:rsid w:val="3F1871AF"/>
    <w:rsid w:val="3F217DDA"/>
    <w:rsid w:val="3F2771DB"/>
    <w:rsid w:val="3F2A3A7B"/>
    <w:rsid w:val="3F2B184D"/>
    <w:rsid w:val="3F2C7646"/>
    <w:rsid w:val="3F421D47"/>
    <w:rsid w:val="3F431A48"/>
    <w:rsid w:val="3F441B08"/>
    <w:rsid w:val="3F461341"/>
    <w:rsid w:val="3F4A4087"/>
    <w:rsid w:val="3F5361F5"/>
    <w:rsid w:val="3F6B3632"/>
    <w:rsid w:val="3F7254BE"/>
    <w:rsid w:val="3F761F16"/>
    <w:rsid w:val="3F771587"/>
    <w:rsid w:val="3F776E0A"/>
    <w:rsid w:val="3F8271EB"/>
    <w:rsid w:val="3F8A2CC8"/>
    <w:rsid w:val="3F952814"/>
    <w:rsid w:val="3F9806D0"/>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EF5D54"/>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61B39"/>
    <w:rsid w:val="40572DA6"/>
    <w:rsid w:val="405A424E"/>
    <w:rsid w:val="405D0545"/>
    <w:rsid w:val="406D461C"/>
    <w:rsid w:val="406F307E"/>
    <w:rsid w:val="406F7D87"/>
    <w:rsid w:val="40764D57"/>
    <w:rsid w:val="40825FDB"/>
    <w:rsid w:val="40836EAD"/>
    <w:rsid w:val="40907287"/>
    <w:rsid w:val="409171FE"/>
    <w:rsid w:val="409238F2"/>
    <w:rsid w:val="40953EC0"/>
    <w:rsid w:val="40AB3054"/>
    <w:rsid w:val="40AF2B72"/>
    <w:rsid w:val="40B70518"/>
    <w:rsid w:val="40BA51BF"/>
    <w:rsid w:val="40BD153A"/>
    <w:rsid w:val="40C3250A"/>
    <w:rsid w:val="40C32647"/>
    <w:rsid w:val="40CD7BD8"/>
    <w:rsid w:val="40CE24AF"/>
    <w:rsid w:val="40D07371"/>
    <w:rsid w:val="40D72999"/>
    <w:rsid w:val="40D971A2"/>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5483F"/>
    <w:rsid w:val="416C15E7"/>
    <w:rsid w:val="416E039C"/>
    <w:rsid w:val="416E1B43"/>
    <w:rsid w:val="416E6794"/>
    <w:rsid w:val="4175203F"/>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2E5C"/>
    <w:rsid w:val="41C20F3F"/>
    <w:rsid w:val="41CA27FB"/>
    <w:rsid w:val="41D1580B"/>
    <w:rsid w:val="41D57639"/>
    <w:rsid w:val="41D66138"/>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12972"/>
    <w:rsid w:val="4219792E"/>
    <w:rsid w:val="421A7E13"/>
    <w:rsid w:val="421B1059"/>
    <w:rsid w:val="422370F9"/>
    <w:rsid w:val="42294221"/>
    <w:rsid w:val="422C32BD"/>
    <w:rsid w:val="422E207E"/>
    <w:rsid w:val="423038F8"/>
    <w:rsid w:val="423C43DB"/>
    <w:rsid w:val="424255E1"/>
    <w:rsid w:val="424707D7"/>
    <w:rsid w:val="424A277B"/>
    <w:rsid w:val="424C701C"/>
    <w:rsid w:val="42571AE1"/>
    <w:rsid w:val="42637522"/>
    <w:rsid w:val="4264429D"/>
    <w:rsid w:val="42697E79"/>
    <w:rsid w:val="427034C5"/>
    <w:rsid w:val="42730E0D"/>
    <w:rsid w:val="427409B9"/>
    <w:rsid w:val="427C0175"/>
    <w:rsid w:val="427E7D46"/>
    <w:rsid w:val="42831021"/>
    <w:rsid w:val="42863926"/>
    <w:rsid w:val="4287026E"/>
    <w:rsid w:val="42873CB7"/>
    <w:rsid w:val="42910282"/>
    <w:rsid w:val="429110B8"/>
    <w:rsid w:val="42915B06"/>
    <w:rsid w:val="4295760D"/>
    <w:rsid w:val="42980437"/>
    <w:rsid w:val="429856B0"/>
    <w:rsid w:val="429A29B1"/>
    <w:rsid w:val="429A4C84"/>
    <w:rsid w:val="429C1606"/>
    <w:rsid w:val="42A12212"/>
    <w:rsid w:val="42A715F1"/>
    <w:rsid w:val="42A87389"/>
    <w:rsid w:val="42B63D6B"/>
    <w:rsid w:val="42C5796D"/>
    <w:rsid w:val="42C61B53"/>
    <w:rsid w:val="42D106B9"/>
    <w:rsid w:val="42D67001"/>
    <w:rsid w:val="42E06A10"/>
    <w:rsid w:val="42EE1F53"/>
    <w:rsid w:val="42F875D5"/>
    <w:rsid w:val="430A5FFD"/>
    <w:rsid w:val="430D441C"/>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D10A40"/>
    <w:rsid w:val="43D67A91"/>
    <w:rsid w:val="43E14550"/>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6D070A"/>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122A4"/>
    <w:rsid w:val="456646D9"/>
    <w:rsid w:val="456C4CA4"/>
    <w:rsid w:val="456C5E21"/>
    <w:rsid w:val="457736FF"/>
    <w:rsid w:val="45790DCE"/>
    <w:rsid w:val="457E31A2"/>
    <w:rsid w:val="45832E61"/>
    <w:rsid w:val="458B757C"/>
    <w:rsid w:val="458D679F"/>
    <w:rsid w:val="459026D9"/>
    <w:rsid w:val="45917B8A"/>
    <w:rsid w:val="459B634C"/>
    <w:rsid w:val="459F2381"/>
    <w:rsid w:val="45A67ED0"/>
    <w:rsid w:val="45A74FA6"/>
    <w:rsid w:val="45B315CE"/>
    <w:rsid w:val="45B64B84"/>
    <w:rsid w:val="45B7592A"/>
    <w:rsid w:val="45E37678"/>
    <w:rsid w:val="45E526A6"/>
    <w:rsid w:val="45E56E31"/>
    <w:rsid w:val="45E66893"/>
    <w:rsid w:val="45E826B2"/>
    <w:rsid w:val="45F4334C"/>
    <w:rsid w:val="45F81227"/>
    <w:rsid w:val="460D3781"/>
    <w:rsid w:val="46365246"/>
    <w:rsid w:val="46430942"/>
    <w:rsid w:val="46466453"/>
    <w:rsid w:val="464871AD"/>
    <w:rsid w:val="465342B4"/>
    <w:rsid w:val="465918B0"/>
    <w:rsid w:val="4662020E"/>
    <w:rsid w:val="466D3070"/>
    <w:rsid w:val="4671651F"/>
    <w:rsid w:val="46787358"/>
    <w:rsid w:val="467929D1"/>
    <w:rsid w:val="4679494F"/>
    <w:rsid w:val="467A6815"/>
    <w:rsid w:val="46866306"/>
    <w:rsid w:val="46867544"/>
    <w:rsid w:val="46895F00"/>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DD2411"/>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743750"/>
    <w:rsid w:val="47781DF4"/>
    <w:rsid w:val="477A2AE1"/>
    <w:rsid w:val="47814572"/>
    <w:rsid w:val="478E4501"/>
    <w:rsid w:val="479766B4"/>
    <w:rsid w:val="47992341"/>
    <w:rsid w:val="479A472B"/>
    <w:rsid w:val="479D7800"/>
    <w:rsid w:val="47A240A4"/>
    <w:rsid w:val="47A554A0"/>
    <w:rsid w:val="47A565B0"/>
    <w:rsid w:val="47A74C9E"/>
    <w:rsid w:val="47AA1593"/>
    <w:rsid w:val="47AB2AB0"/>
    <w:rsid w:val="47B44BED"/>
    <w:rsid w:val="47BC3466"/>
    <w:rsid w:val="47D730B6"/>
    <w:rsid w:val="47DD6A91"/>
    <w:rsid w:val="47E22039"/>
    <w:rsid w:val="47E62C82"/>
    <w:rsid w:val="47E75C6A"/>
    <w:rsid w:val="47EB0853"/>
    <w:rsid w:val="47EB5BFA"/>
    <w:rsid w:val="47EE1E4C"/>
    <w:rsid w:val="47FA20F9"/>
    <w:rsid w:val="47FF3A74"/>
    <w:rsid w:val="480B170C"/>
    <w:rsid w:val="480B7A59"/>
    <w:rsid w:val="48111DC2"/>
    <w:rsid w:val="48156BFB"/>
    <w:rsid w:val="4825517C"/>
    <w:rsid w:val="482B39B5"/>
    <w:rsid w:val="482D350F"/>
    <w:rsid w:val="4839574E"/>
    <w:rsid w:val="483A21DD"/>
    <w:rsid w:val="483C2A8C"/>
    <w:rsid w:val="483D5519"/>
    <w:rsid w:val="483F2722"/>
    <w:rsid w:val="48424FA1"/>
    <w:rsid w:val="484647AE"/>
    <w:rsid w:val="484F1901"/>
    <w:rsid w:val="48594C05"/>
    <w:rsid w:val="485D5413"/>
    <w:rsid w:val="485D58DA"/>
    <w:rsid w:val="4864473B"/>
    <w:rsid w:val="4864535D"/>
    <w:rsid w:val="486C0CFF"/>
    <w:rsid w:val="48723282"/>
    <w:rsid w:val="48740F16"/>
    <w:rsid w:val="48747A97"/>
    <w:rsid w:val="487A2A25"/>
    <w:rsid w:val="487C0397"/>
    <w:rsid w:val="48850976"/>
    <w:rsid w:val="48883D0A"/>
    <w:rsid w:val="488E25F1"/>
    <w:rsid w:val="48942964"/>
    <w:rsid w:val="489560BC"/>
    <w:rsid w:val="489B4431"/>
    <w:rsid w:val="489F0E5C"/>
    <w:rsid w:val="48A252D4"/>
    <w:rsid w:val="48A36B1C"/>
    <w:rsid w:val="48A76BEF"/>
    <w:rsid w:val="48A81F60"/>
    <w:rsid w:val="48A853D5"/>
    <w:rsid w:val="48AD0CFC"/>
    <w:rsid w:val="48AF255D"/>
    <w:rsid w:val="48B16C29"/>
    <w:rsid w:val="48B305F1"/>
    <w:rsid w:val="48B44D6B"/>
    <w:rsid w:val="48B470F8"/>
    <w:rsid w:val="48C17F25"/>
    <w:rsid w:val="48C34E74"/>
    <w:rsid w:val="48C43EFA"/>
    <w:rsid w:val="48C72E35"/>
    <w:rsid w:val="48C82BD7"/>
    <w:rsid w:val="48CB0DA2"/>
    <w:rsid w:val="48DC09B1"/>
    <w:rsid w:val="48DC218B"/>
    <w:rsid w:val="48F447F8"/>
    <w:rsid w:val="48F93911"/>
    <w:rsid w:val="49046287"/>
    <w:rsid w:val="49075A63"/>
    <w:rsid w:val="490933FA"/>
    <w:rsid w:val="490A4D2F"/>
    <w:rsid w:val="490A64AF"/>
    <w:rsid w:val="491709CE"/>
    <w:rsid w:val="491A46F9"/>
    <w:rsid w:val="49224F55"/>
    <w:rsid w:val="49241D45"/>
    <w:rsid w:val="4929748F"/>
    <w:rsid w:val="492F1F4E"/>
    <w:rsid w:val="4935171C"/>
    <w:rsid w:val="49366254"/>
    <w:rsid w:val="493717AB"/>
    <w:rsid w:val="49392EBE"/>
    <w:rsid w:val="493A0176"/>
    <w:rsid w:val="493A31B1"/>
    <w:rsid w:val="493B1964"/>
    <w:rsid w:val="493D4A0B"/>
    <w:rsid w:val="49432B91"/>
    <w:rsid w:val="494502AA"/>
    <w:rsid w:val="49535C21"/>
    <w:rsid w:val="49594129"/>
    <w:rsid w:val="495B528B"/>
    <w:rsid w:val="495C3370"/>
    <w:rsid w:val="495C7B19"/>
    <w:rsid w:val="496409A2"/>
    <w:rsid w:val="496926EA"/>
    <w:rsid w:val="49692730"/>
    <w:rsid w:val="496B350B"/>
    <w:rsid w:val="49707759"/>
    <w:rsid w:val="49715E0F"/>
    <w:rsid w:val="49765908"/>
    <w:rsid w:val="497F5591"/>
    <w:rsid w:val="49822E2F"/>
    <w:rsid w:val="498F38E6"/>
    <w:rsid w:val="498F4407"/>
    <w:rsid w:val="49927939"/>
    <w:rsid w:val="49927DFC"/>
    <w:rsid w:val="499322C4"/>
    <w:rsid w:val="4995554E"/>
    <w:rsid w:val="49986BC3"/>
    <w:rsid w:val="499B3646"/>
    <w:rsid w:val="499C3504"/>
    <w:rsid w:val="499C3A4F"/>
    <w:rsid w:val="49A43EE6"/>
    <w:rsid w:val="49A46AD6"/>
    <w:rsid w:val="49AB3DB8"/>
    <w:rsid w:val="49AE0A81"/>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E3472A"/>
    <w:rsid w:val="4AE520D9"/>
    <w:rsid w:val="4AF902F5"/>
    <w:rsid w:val="4AF94D42"/>
    <w:rsid w:val="4B0107DC"/>
    <w:rsid w:val="4B0F0D06"/>
    <w:rsid w:val="4B155A38"/>
    <w:rsid w:val="4B1F3587"/>
    <w:rsid w:val="4B205D7D"/>
    <w:rsid w:val="4B28587C"/>
    <w:rsid w:val="4B292683"/>
    <w:rsid w:val="4B294C7C"/>
    <w:rsid w:val="4B376E2E"/>
    <w:rsid w:val="4B385AE2"/>
    <w:rsid w:val="4B3D5656"/>
    <w:rsid w:val="4B3F4861"/>
    <w:rsid w:val="4B406C16"/>
    <w:rsid w:val="4B4208E9"/>
    <w:rsid w:val="4B4C459F"/>
    <w:rsid w:val="4B50566A"/>
    <w:rsid w:val="4B530CA2"/>
    <w:rsid w:val="4B53122B"/>
    <w:rsid w:val="4B571002"/>
    <w:rsid w:val="4B5912E9"/>
    <w:rsid w:val="4B5D1DDE"/>
    <w:rsid w:val="4B683C6A"/>
    <w:rsid w:val="4B705844"/>
    <w:rsid w:val="4B7224D0"/>
    <w:rsid w:val="4B731C20"/>
    <w:rsid w:val="4B774607"/>
    <w:rsid w:val="4B7A2A13"/>
    <w:rsid w:val="4B7A3C96"/>
    <w:rsid w:val="4B7B551F"/>
    <w:rsid w:val="4B7D39B0"/>
    <w:rsid w:val="4B7D4F5D"/>
    <w:rsid w:val="4B82716C"/>
    <w:rsid w:val="4B857EC6"/>
    <w:rsid w:val="4B8829C1"/>
    <w:rsid w:val="4B891806"/>
    <w:rsid w:val="4B8A2918"/>
    <w:rsid w:val="4B901807"/>
    <w:rsid w:val="4B965ED9"/>
    <w:rsid w:val="4B991E13"/>
    <w:rsid w:val="4B9B25E4"/>
    <w:rsid w:val="4B9E0CF5"/>
    <w:rsid w:val="4B9E314D"/>
    <w:rsid w:val="4BAD4CA2"/>
    <w:rsid w:val="4BC1428A"/>
    <w:rsid w:val="4BC456EF"/>
    <w:rsid w:val="4BC647B0"/>
    <w:rsid w:val="4BC92685"/>
    <w:rsid w:val="4BCB1BAE"/>
    <w:rsid w:val="4BD5132B"/>
    <w:rsid w:val="4BD87F23"/>
    <w:rsid w:val="4BD94F2A"/>
    <w:rsid w:val="4BDF4B49"/>
    <w:rsid w:val="4BE57E16"/>
    <w:rsid w:val="4BE819D0"/>
    <w:rsid w:val="4BE8649D"/>
    <w:rsid w:val="4C0236B4"/>
    <w:rsid w:val="4C0B3AD4"/>
    <w:rsid w:val="4C0C091F"/>
    <w:rsid w:val="4C102C91"/>
    <w:rsid w:val="4C135636"/>
    <w:rsid w:val="4C170C9D"/>
    <w:rsid w:val="4C18748D"/>
    <w:rsid w:val="4C192F75"/>
    <w:rsid w:val="4C1C0BD6"/>
    <w:rsid w:val="4C1D0D7B"/>
    <w:rsid w:val="4C1E085C"/>
    <w:rsid w:val="4C1E7AAC"/>
    <w:rsid w:val="4C1F2487"/>
    <w:rsid w:val="4C20259F"/>
    <w:rsid w:val="4C266CF5"/>
    <w:rsid w:val="4C312ECF"/>
    <w:rsid w:val="4C3A34AC"/>
    <w:rsid w:val="4C422CA7"/>
    <w:rsid w:val="4C427C5C"/>
    <w:rsid w:val="4C5035A1"/>
    <w:rsid w:val="4C5D1CF8"/>
    <w:rsid w:val="4C5F0B5D"/>
    <w:rsid w:val="4C606F33"/>
    <w:rsid w:val="4C6426ED"/>
    <w:rsid w:val="4C64471A"/>
    <w:rsid w:val="4C655E4F"/>
    <w:rsid w:val="4C6C2FE2"/>
    <w:rsid w:val="4C6D5BD4"/>
    <w:rsid w:val="4C7028D0"/>
    <w:rsid w:val="4C77619E"/>
    <w:rsid w:val="4C860543"/>
    <w:rsid w:val="4C8740CC"/>
    <w:rsid w:val="4C8E48D8"/>
    <w:rsid w:val="4C94306A"/>
    <w:rsid w:val="4C9538F4"/>
    <w:rsid w:val="4C974009"/>
    <w:rsid w:val="4CA41ED5"/>
    <w:rsid w:val="4CA6111C"/>
    <w:rsid w:val="4CA867B8"/>
    <w:rsid w:val="4CA94B83"/>
    <w:rsid w:val="4CB3742C"/>
    <w:rsid w:val="4CB65A02"/>
    <w:rsid w:val="4CBD4D04"/>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817B2"/>
    <w:rsid w:val="4D094E78"/>
    <w:rsid w:val="4D0D7DEF"/>
    <w:rsid w:val="4D0F1680"/>
    <w:rsid w:val="4D1418AD"/>
    <w:rsid w:val="4D1B51FB"/>
    <w:rsid w:val="4D1D6CA0"/>
    <w:rsid w:val="4D1F6284"/>
    <w:rsid w:val="4D234FC4"/>
    <w:rsid w:val="4D2609C6"/>
    <w:rsid w:val="4D291A11"/>
    <w:rsid w:val="4D2A2C09"/>
    <w:rsid w:val="4D2F5C2A"/>
    <w:rsid w:val="4D310377"/>
    <w:rsid w:val="4D33448A"/>
    <w:rsid w:val="4D3F4840"/>
    <w:rsid w:val="4D410392"/>
    <w:rsid w:val="4D422D07"/>
    <w:rsid w:val="4D427BBD"/>
    <w:rsid w:val="4D434DC4"/>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00A88"/>
    <w:rsid w:val="4DD776ED"/>
    <w:rsid w:val="4DDF0F89"/>
    <w:rsid w:val="4DDF6E13"/>
    <w:rsid w:val="4DE60E50"/>
    <w:rsid w:val="4DE63725"/>
    <w:rsid w:val="4DE650B3"/>
    <w:rsid w:val="4DEB4734"/>
    <w:rsid w:val="4DEF33CD"/>
    <w:rsid w:val="4DF20FEE"/>
    <w:rsid w:val="4DF677EB"/>
    <w:rsid w:val="4E007E98"/>
    <w:rsid w:val="4E016672"/>
    <w:rsid w:val="4E03778C"/>
    <w:rsid w:val="4E066F25"/>
    <w:rsid w:val="4E0939E5"/>
    <w:rsid w:val="4E1109CA"/>
    <w:rsid w:val="4E176DF3"/>
    <w:rsid w:val="4E1A2F68"/>
    <w:rsid w:val="4E1D1316"/>
    <w:rsid w:val="4E1E7D0E"/>
    <w:rsid w:val="4E210A5C"/>
    <w:rsid w:val="4E2A17D0"/>
    <w:rsid w:val="4E387FA1"/>
    <w:rsid w:val="4E3A2C21"/>
    <w:rsid w:val="4E412A4D"/>
    <w:rsid w:val="4E423AC6"/>
    <w:rsid w:val="4E4475F5"/>
    <w:rsid w:val="4E4657FB"/>
    <w:rsid w:val="4E5063EE"/>
    <w:rsid w:val="4E587463"/>
    <w:rsid w:val="4E5A3449"/>
    <w:rsid w:val="4E5C3DB0"/>
    <w:rsid w:val="4E655488"/>
    <w:rsid w:val="4E68543B"/>
    <w:rsid w:val="4E6906EE"/>
    <w:rsid w:val="4E694E99"/>
    <w:rsid w:val="4E697745"/>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456FA"/>
    <w:rsid w:val="4EA51956"/>
    <w:rsid w:val="4EA9172F"/>
    <w:rsid w:val="4EAC241A"/>
    <w:rsid w:val="4EB67945"/>
    <w:rsid w:val="4EC05169"/>
    <w:rsid w:val="4EC067E6"/>
    <w:rsid w:val="4EC5134E"/>
    <w:rsid w:val="4ECA2CB3"/>
    <w:rsid w:val="4ECB66A8"/>
    <w:rsid w:val="4ED22667"/>
    <w:rsid w:val="4ED32EBD"/>
    <w:rsid w:val="4EE21470"/>
    <w:rsid w:val="4EE61722"/>
    <w:rsid w:val="4EE86D63"/>
    <w:rsid w:val="4EEC3838"/>
    <w:rsid w:val="4EEE11A3"/>
    <w:rsid w:val="4EF07E6E"/>
    <w:rsid w:val="4EFE4EC2"/>
    <w:rsid w:val="4EFF1B1D"/>
    <w:rsid w:val="4EFF3444"/>
    <w:rsid w:val="4F037BFA"/>
    <w:rsid w:val="4F0441E5"/>
    <w:rsid w:val="4F0F526E"/>
    <w:rsid w:val="4F155F27"/>
    <w:rsid w:val="4F161B09"/>
    <w:rsid w:val="4F181305"/>
    <w:rsid w:val="4F1A238F"/>
    <w:rsid w:val="4F224E1E"/>
    <w:rsid w:val="4F2C365D"/>
    <w:rsid w:val="4F3646C1"/>
    <w:rsid w:val="4F376D93"/>
    <w:rsid w:val="4F3D4163"/>
    <w:rsid w:val="4F4D4275"/>
    <w:rsid w:val="4F50208E"/>
    <w:rsid w:val="4F5446B9"/>
    <w:rsid w:val="4F5B339B"/>
    <w:rsid w:val="4F5F2A89"/>
    <w:rsid w:val="4F6738AD"/>
    <w:rsid w:val="4F6E6F86"/>
    <w:rsid w:val="4F7278C6"/>
    <w:rsid w:val="4F764CC2"/>
    <w:rsid w:val="4F792AAE"/>
    <w:rsid w:val="4F823D55"/>
    <w:rsid w:val="4F85034E"/>
    <w:rsid w:val="4F8A7A31"/>
    <w:rsid w:val="4F983E33"/>
    <w:rsid w:val="4F9B5328"/>
    <w:rsid w:val="4FA653FC"/>
    <w:rsid w:val="4FAB2D35"/>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DE2F1E"/>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52029B"/>
    <w:rsid w:val="50537E4D"/>
    <w:rsid w:val="505F1426"/>
    <w:rsid w:val="506309DB"/>
    <w:rsid w:val="50636E38"/>
    <w:rsid w:val="50685918"/>
    <w:rsid w:val="506D54E7"/>
    <w:rsid w:val="506D69F6"/>
    <w:rsid w:val="50752AF6"/>
    <w:rsid w:val="50771C00"/>
    <w:rsid w:val="508803D7"/>
    <w:rsid w:val="508A668E"/>
    <w:rsid w:val="50935BA5"/>
    <w:rsid w:val="509A3231"/>
    <w:rsid w:val="509C736A"/>
    <w:rsid w:val="50AF1C59"/>
    <w:rsid w:val="50B139BD"/>
    <w:rsid w:val="50B92297"/>
    <w:rsid w:val="50B95F2A"/>
    <w:rsid w:val="50BD1498"/>
    <w:rsid w:val="50BE1B1D"/>
    <w:rsid w:val="50C371C0"/>
    <w:rsid w:val="50C51F05"/>
    <w:rsid w:val="50C65C4E"/>
    <w:rsid w:val="50C65E30"/>
    <w:rsid w:val="50CB45ED"/>
    <w:rsid w:val="50D228CF"/>
    <w:rsid w:val="50E621DB"/>
    <w:rsid w:val="50E63519"/>
    <w:rsid w:val="50ED76FB"/>
    <w:rsid w:val="50F34169"/>
    <w:rsid w:val="50F568D9"/>
    <w:rsid w:val="50F83D1D"/>
    <w:rsid w:val="50FC6477"/>
    <w:rsid w:val="50FD2A03"/>
    <w:rsid w:val="50FF20BC"/>
    <w:rsid w:val="510D4A1E"/>
    <w:rsid w:val="510E0571"/>
    <w:rsid w:val="510F064C"/>
    <w:rsid w:val="51164656"/>
    <w:rsid w:val="51187610"/>
    <w:rsid w:val="512B350B"/>
    <w:rsid w:val="51375EB3"/>
    <w:rsid w:val="513853CC"/>
    <w:rsid w:val="51392D77"/>
    <w:rsid w:val="513F081D"/>
    <w:rsid w:val="51461DCE"/>
    <w:rsid w:val="51466EDC"/>
    <w:rsid w:val="514C1E16"/>
    <w:rsid w:val="514F5DD4"/>
    <w:rsid w:val="514F6CB4"/>
    <w:rsid w:val="515213F3"/>
    <w:rsid w:val="515361F4"/>
    <w:rsid w:val="515529BB"/>
    <w:rsid w:val="515A64E3"/>
    <w:rsid w:val="515C30A6"/>
    <w:rsid w:val="5161698E"/>
    <w:rsid w:val="51715A7D"/>
    <w:rsid w:val="517C0CA0"/>
    <w:rsid w:val="517F00BC"/>
    <w:rsid w:val="5188076F"/>
    <w:rsid w:val="5195533B"/>
    <w:rsid w:val="519645E3"/>
    <w:rsid w:val="5199124A"/>
    <w:rsid w:val="519C028F"/>
    <w:rsid w:val="519C5619"/>
    <w:rsid w:val="519D2F03"/>
    <w:rsid w:val="51A27384"/>
    <w:rsid w:val="51A66F8A"/>
    <w:rsid w:val="51AD6F40"/>
    <w:rsid w:val="51BE2EAE"/>
    <w:rsid w:val="51BE565A"/>
    <w:rsid w:val="51C0716E"/>
    <w:rsid w:val="51C24631"/>
    <w:rsid w:val="51D43598"/>
    <w:rsid w:val="51DA51E8"/>
    <w:rsid w:val="51DA5890"/>
    <w:rsid w:val="51E90CD5"/>
    <w:rsid w:val="51EE7B3E"/>
    <w:rsid w:val="51F51BD1"/>
    <w:rsid w:val="51F96848"/>
    <w:rsid w:val="51FB04BA"/>
    <w:rsid w:val="51FB40B5"/>
    <w:rsid w:val="520065E1"/>
    <w:rsid w:val="520732DA"/>
    <w:rsid w:val="52073487"/>
    <w:rsid w:val="520A3D0B"/>
    <w:rsid w:val="520A518E"/>
    <w:rsid w:val="520A7B89"/>
    <w:rsid w:val="520E648E"/>
    <w:rsid w:val="521C5D43"/>
    <w:rsid w:val="521D7ED7"/>
    <w:rsid w:val="5223238A"/>
    <w:rsid w:val="5239194F"/>
    <w:rsid w:val="52392041"/>
    <w:rsid w:val="52395DD3"/>
    <w:rsid w:val="52612620"/>
    <w:rsid w:val="526478E1"/>
    <w:rsid w:val="526A546C"/>
    <w:rsid w:val="526B1789"/>
    <w:rsid w:val="52716F30"/>
    <w:rsid w:val="52790FD9"/>
    <w:rsid w:val="5287376A"/>
    <w:rsid w:val="52887A7D"/>
    <w:rsid w:val="52894DE6"/>
    <w:rsid w:val="528A253F"/>
    <w:rsid w:val="528C5E23"/>
    <w:rsid w:val="52993DA6"/>
    <w:rsid w:val="529B5EE8"/>
    <w:rsid w:val="529E07F7"/>
    <w:rsid w:val="529F0D9B"/>
    <w:rsid w:val="52AF418F"/>
    <w:rsid w:val="52B84ECE"/>
    <w:rsid w:val="52CA3D8F"/>
    <w:rsid w:val="52CC1EA2"/>
    <w:rsid w:val="52CD21D8"/>
    <w:rsid w:val="52CF0A4A"/>
    <w:rsid w:val="52D1121B"/>
    <w:rsid w:val="52D46700"/>
    <w:rsid w:val="52DC66BA"/>
    <w:rsid w:val="52DC7C0E"/>
    <w:rsid w:val="52DD36C6"/>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87BD3"/>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AD0D13"/>
    <w:rsid w:val="54B171C4"/>
    <w:rsid w:val="54B61DA8"/>
    <w:rsid w:val="54B62C99"/>
    <w:rsid w:val="54CC47C4"/>
    <w:rsid w:val="54D85506"/>
    <w:rsid w:val="54D87E24"/>
    <w:rsid w:val="54DF688B"/>
    <w:rsid w:val="54E30614"/>
    <w:rsid w:val="54E5025A"/>
    <w:rsid w:val="54E95643"/>
    <w:rsid w:val="54ED3DC1"/>
    <w:rsid w:val="54F26B12"/>
    <w:rsid w:val="55005D51"/>
    <w:rsid w:val="550E6C32"/>
    <w:rsid w:val="551C2E90"/>
    <w:rsid w:val="5522708D"/>
    <w:rsid w:val="552A08A4"/>
    <w:rsid w:val="55390890"/>
    <w:rsid w:val="553B7972"/>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122F8D"/>
    <w:rsid w:val="561648A0"/>
    <w:rsid w:val="56214A7B"/>
    <w:rsid w:val="562E1F90"/>
    <w:rsid w:val="56322032"/>
    <w:rsid w:val="56340F77"/>
    <w:rsid w:val="56346FD2"/>
    <w:rsid w:val="56363A74"/>
    <w:rsid w:val="56373380"/>
    <w:rsid w:val="563B616D"/>
    <w:rsid w:val="56436207"/>
    <w:rsid w:val="56456373"/>
    <w:rsid w:val="565A146E"/>
    <w:rsid w:val="565B61BB"/>
    <w:rsid w:val="566510CB"/>
    <w:rsid w:val="567215D4"/>
    <w:rsid w:val="56730E56"/>
    <w:rsid w:val="567A6CC0"/>
    <w:rsid w:val="567E4F7B"/>
    <w:rsid w:val="568105A9"/>
    <w:rsid w:val="5681390F"/>
    <w:rsid w:val="56880496"/>
    <w:rsid w:val="568B546B"/>
    <w:rsid w:val="568D0940"/>
    <w:rsid w:val="56902B88"/>
    <w:rsid w:val="56927DA4"/>
    <w:rsid w:val="56983934"/>
    <w:rsid w:val="56A032E3"/>
    <w:rsid w:val="56A04928"/>
    <w:rsid w:val="56A418DC"/>
    <w:rsid w:val="56A50EBB"/>
    <w:rsid w:val="56A83AE3"/>
    <w:rsid w:val="56A96EF1"/>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0367A"/>
    <w:rsid w:val="573403E6"/>
    <w:rsid w:val="573459F0"/>
    <w:rsid w:val="573B3910"/>
    <w:rsid w:val="574460A0"/>
    <w:rsid w:val="57484376"/>
    <w:rsid w:val="574B4B12"/>
    <w:rsid w:val="575425F9"/>
    <w:rsid w:val="575A2017"/>
    <w:rsid w:val="575C5FBB"/>
    <w:rsid w:val="575E118F"/>
    <w:rsid w:val="57615689"/>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06390"/>
    <w:rsid w:val="57A25E69"/>
    <w:rsid w:val="57A46FEE"/>
    <w:rsid w:val="57AF7168"/>
    <w:rsid w:val="57B02763"/>
    <w:rsid w:val="57B6547E"/>
    <w:rsid w:val="57BC7C9C"/>
    <w:rsid w:val="57BF6387"/>
    <w:rsid w:val="57CB36D6"/>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A32CD"/>
    <w:rsid w:val="581F0C6E"/>
    <w:rsid w:val="581F64F0"/>
    <w:rsid w:val="5822786C"/>
    <w:rsid w:val="58243371"/>
    <w:rsid w:val="58293CFC"/>
    <w:rsid w:val="58302962"/>
    <w:rsid w:val="5835010B"/>
    <w:rsid w:val="58457559"/>
    <w:rsid w:val="5846366F"/>
    <w:rsid w:val="584654C9"/>
    <w:rsid w:val="58470241"/>
    <w:rsid w:val="58484F55"/>
    <w:rsid w:val="58563BF0"/>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CF1B63"/>
    <w:rsid w:val="58D44FB1"/>
    <w:rsid w:val="58DB456A"/>
    <w:rsid w:val="58DD6CC7"/>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14893"/>
    <w:rsid w:val="59553106"/>
    <w:rsid w:val="595C0946"/>
    <w:rsid w:val="595E6836"/>
    <w:rsid w:val="59604A5E"/>
    <w:rsid w:val="59642A7A"/>
    <w:rsid w:val="59650C78"/>
    <w:rsid w:val="596564F7"/>
    <w:rsid w:val="59673205"/>
    <w:rsid w:val="596D32B4"/>
    <w:rsid w:val="59774D3E"/>
    <w:rsid w:val="598A7CA7"/>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11C9B"/>
    <w:rsid w:val="59EB0D06"/>
    <w:rsid w:val="59F32024"/>
    <w:rsid w:val="59F44D39"/>
    <w:rsid w:val="59F511B7"/>
    <w:rsid w:val="59FD04D3"/>
    <w:rsid w:val="59FF2F18"/>
    <w:rsid w:val="5A025BE6"/>
    <w:rsid w:val="5A05470A"/>
    <w:rsid w:val="5A0640DE"/>
    <w:rsid w:val="5A1215B1"/>
    <w:rsid w:val="5A1D0AF2"/>
    <w:rsid w:val="5A1E6A9C"/>
    <w:rsid w:val="5A1F5196"/>
    <w:rsid w:val="5A227353"/>
    <w:rsid w:val="5A265096"/>
    <w:rsid w:val="5A2943A6"/>
    <w:rsid w:val="5A2953FB"/>
    <w:rsid w:val="5A2A6592"/>
    <w:rsid w:val="5A2D0557"/>
    <w:rsid w:val="5A2F0148"/>
    <w:rsid w:val="5A340B09"/>
    <w:rsid w:val="5A3F3527"/>
    <w:rsid w:val="5A440B9D"/>
    <w:rsid w:val="5A5128C3"/>
    <w:rsid w:val="5A525A46"/>
    <w:rsid w:val="5A575C31"/>
    <w:rsid w:val="5A5C7772"/>
    <w:rsid w:val="5A6336A1"/>
    <w:rsid w:val="5A6B7C88"/>
    <w:rsid w:val="5A6F67F4"/>
    <w:rsid w:val="5A73612A"/>
    <w:rsid w:val="5A746FAA"/>
    <w:rsid w:val="5A8C0313"/>
    <w:rsid w:val="5A8F76C1"/>
    <w:rsid w:val="5A921A04"/>
    <w:rsid w:val="5A9A0A66"/>
    <w:rsid w:val="5A9B4266"/>
    <w:rsid w:val="5AA10AF4"/>
    <w:rsid w:val="5AA541CF"/>
    <w:rsid w:val="5AAF48E4"/>
    <w:rsid w:val="5AB6074D"/>
    <w:rsid w:val="5AB96041"/>
    <w:rsid w:val="5ABC4831"/>
    <w:rsid w:val="5ABC6BFA"/>
    <w:rsid w:val="5AC366EB"/>
    <w:rsid w:val="5AC43AE0"/>
    <w:rsid w:val="5AC4427C"/>
    <w:rsid w:val="5AD054B7"/>
    <w:rsid w:val="5AD149C0"/>
    <w:rsid w:val="5AD510F0"/>
    <w:rsid w:val="5AD5204A"/>
    <w:rsid w:val="5ADF1395"/>
    <w:rsid w:val="5AF82FCA"/>
    <w:rsid w:val="5AF8657A"/>
    <w:rsid w:val="5AFE5C3F"/>
    <w:rsid w:val="5B000850"/>
    <w:rsid w:val="5B077D57"/>
    <w:rsid w:val="5B0C12AF"/>
    <w:rsid w:val="5B187495"/>
    <w:rsid w:val="5B1945A0"/>
    <w:rsid w:val="5B1B10FA"/>
    <w:rsid w:val="5B1B5003"/>
    <w:rsid w:val="5B1F757B"/>
    <w:rsid w:val="5B225A79"/>
    <w:rsid w:val="5B2445B5"/>
    <w:rsid w:val="5B2559CC"/>
    <w:rsid w:val="5B2A41C4"/>
    <w:rsid w:val="5B2B5E52"/>
    <w:rsid w:val="5B33307E"/>
    <w:rsid w:val="5B3E0A56"/>
    <w:rsid w:val="5B3E6E9D"/>
    <w:rsid w:val="5B470EA8"/>
    <w:rsid w:val="5B492D29"/>
    <w:rsid w:val="5B532679"/>
    <w:rsid w:val="5B570BDE"/>
    <w:rsid w:val="5B5B64C5"/>
    <w:rsid w:val="5B6207A7"/>
    <w:rsid w:val="5B627DC7"/>
    <w:rsid w:val="5B6C3A43"/>
    <w:rsid w:val="5B6C5737"/>
    <w:rsid w:val="5B7064F4"/>
    <w:rsid w:val="5B763263"/>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500AF8"/>
    <w:rsid w:val="5C517866"/>
    <w:rsid w:val="5C523483"/>
    <w:rsid w:val="5C5348B4"/>
    <w:rsid w:val="5C5365A4"/>
    <w:rsid w:val="5C5E033F"/>
    <w:rsid w:val="5C676241"/>
    <w:rsid w:val="5C6875EE"/>
    <w:rsid w:val="5C6F12DC"/>
    <w:rsid w:val="5C7775B1"/>
    <w:rsid w:val="5C7A2919"/>
    <w:rsid w:val="5C824CAB"/>
    <w:rsid w:val="5CA25C4B"/>
    <w:rsid w:val="5CAE2CA6"/>
    <w:rsid w:val="5CBF4297"/>
    <w:rsid w:val="5CC43404"/>
    <w:rsid w:val="5CC93DAE"/>
    <w:rsid w:val="5CCB1E60"/>
    <w:rsid w:val="5CD31EE3"/>
    <w:rsid w:val="5CD639C1"/>
    <w:rsid w:val="5CDD4775"/>
    <w:rsid w:val="5CE1654F"/>
    <w:rsid w:val="5CE47CF9"/>
    <w:rsid w:val="5CEB1D70"/>
    <w:rsid w:val="5CF26F1A"/>
    <w:rsid w:val="5CF45558"/>
    <w:rsid w:val="5CF70E19"/>
    <w:rsid w:val="5D00730C"/>
    <w:rsid w:val="5D025EB9"/>
    <w:rsid w:val="5D072BC8"/>
    <w:rsid w:val="5D076525"/>
    <w:rsid w:val="5D0A3A75"/>
    <w:rsid w:val="5D101253"/>
    <w:rsid w:val="5D19384D"/>
    <w:rsid w:val="5D1C6DF3"/>
    <w:rsid w:val="5D22473A"/>
    <w:rsid w:val="5D2B5629"/>
    <w:rsid w:val="5D315CEB"/>
    <w:rsid w:val="5D326462"/>
    <w:rsid w:val="5D3926A3"/>
    <w:rsid w:val="5D3B59DF"/>
    <w:rsid w:val="5D473075"/>
    <w:rsid w:val="5D475E41"/>
    <w:rsid w:val="5D4822EE"/>
    <w:rsid w:val="5D4E6394"/>
    <w:rsid w:val="5D576CDF"/>
    <w:rsid w:val="5D58255D"/>
    <w:rsid w:val="5D5864DB"/>
    <w:rsid w:val="5D5C6005"/>
    <w:rsid w:val="5D5E2805"/>
    <w:rsid w:val="5D643938"/>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80AC5"/>
    <w:rsid w:val="5DDF712E"/>
    <w:rsid w:val="5DE20404"/>
    <w:rsid w:val="5DE44DF4"/>
    <w:rsid w:val="5DED4540"/>
    <w:rsid w:val="5DF66F0F"/>
    <w:rsid w:val="5DFD492D"/>
    <w:rsid w:val="5E00720B"/>
    <w:rsid w:val="5E012896"/>
    <w:rsid w:val="5E0825B2"/>
    <w:rsid w:val="5E0A6049"/>
    <w:rsid w:val="5E156B70"/>
    <w:rsid w:val="5E1574AD"/>
    <w:rsid w:val="5E21165A"/>
    <w:rsid w:val="5E226508"/>
    <w:rsid w:val="5E2368B5"/>
    <w:rsid w:val="5E267415"/>
    <w:rsid w:val="5E284026"/>
    <w:rsid w:val="5E2D2EF7"/>
    <w:rsid w:val="5E344390"/>
    <w:rsid w:val="5E352EB6"/>
    <w:rsid w:val="5E400BF0"/>
    <w:rsid w:val="5E4250B0"/>
    <w:rsid w:val="5E473C9C"/>
    <w:rsid w:val="5E4A3E88"/>
    <w:rsid w:val="5E4C60F7"/>
    <w:rsid w:val="5E4E539E"/>
    <w:rsid w:val="5E5F0687"/>
    <w:rsid w:val="5E6454D9"/>
    <w:rsid w:val="5E680BE8"/>
    <w:rsid w:val="5E6B2560"/>
    <w:rsid w:val="5E6B7FF0"/>
    <w:rsid w:val="5E6F59AA"/>
    <w:rsid w:val="5E783202"/>
    <w:rsid w:val="5E7842EE"/>
    <w:rsid w:val="5E803D55"/>
    <w:rsid w:val="5E854DAE"/>
    <w:rsid w:val="5E885A2E"/>
    <w:rsid w:val="5E892AB0"/>
    <w:rsid w:val="5E99641D"/>
    <w:rsid w:val="5EA314EC"/>
    <w:rsid w:val="5EA36A9B"/>
    <w:rsid w:val="5EA648E2"/>
    <w:rsid w:val="5EB32415"/>
    <w:rsid w:val="5EB52E6F"/>
    <w:rsid w:val="5EB955D3"/>
    <w:rsid w:val="5EBF1F0D"/>
    <w:rsid w:val="5EC91A19"/>
    <w:rsid w:val="5EC94A60"/>
    <w:rsid w:val="5ED14FE5"/>
    <w:rsid w:val="5ED95EEE"/>
    <w:rsid w:val="5EDD1B33"/>
    <w:rsid w:val="5EE012CA"/>
    <w:rsid w:val="5EE15102"/>
    <w:rsid w:val="5EE55DDE"/>
    <w:rsid w:val="5EE812C0"/>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9113E"/>
    <w:rsid w:val="5F6E43EC"/>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301B6"/>
    <w:rsid w:val="5FF744A9"/>
    <w:rsid w:val="5FF76947"/>
    <w:rsid w:val="5FFB17C7"/>
    <w:rsid w:val="5FFD2E99"/>
    <w:rsid w:val="5FFE6C22"/>
    <w:rsid w:val="60000309"/>
    <w:rsid w:val="60000B21"/>
    <w:rsid w:val="60000B85"/>
    <w:rsid w:val="600B6B90"/>
    <w:rsid w:val="600C3224"/>
    <w:rsid w:val="600F43C9"/>
    <w:rsid w:val="600F6605"/>
    <w:rsid w:val="60143AD3"/>
    <w:rsid w:val="60183069"/>
    <w:rsid w:val="60281FCD"/>
    <w:rsid w:val="602876AC"/>
    <w:rsid w:val="603215F4"/>
    <w:rsid w:val="60363C49"/>
    <w:rsid w:val="603771DA"/>
    <w:rsid w:val="603F3954"/>
    <w:rsid w:val="6041103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B0800"/>
    <w:rsid w:val="60DE0DB6"/>
    <w:rsid w:val="60E25F60"/>
    <w:rsid w:val="60E4307D"/>
    <w:rsid w:val="60E54273"/>
    <w:rsid w:val="60F13E67"/>
    <w:rsid w:val="60F46839"/>
    <w:rsid w:val="60F64C7C"/>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B2659"/>
    <w:rsid w:val="615C6D86"/>
    <w:rsid w:val="615E36E9"/>
    <w:rsid w:val="615E3F04"/>
    <w:rsid w:val="61676068"/>
    <w:rsid w:val="616B25D0"/>
    <w:rsid w:val="616C1663"/>
    <w:rsid w:val="616E223F"/>
    <w:rsid w:val="617305C5"/>
    <w:rsid w:val="61751F59"/>
    <w:rsid w:val="61755D8A"/>
    <w:rsid w:val="617C28AF"/>
    <w:rsid w:val="617C4182"/>
    <w:rsid w:val="618729A9"/>
    <w:rsid w:val="618A6058"/>
    <w:rsid w:val="618E45AA"/>
    <w:rsid w:val="61963257"/>
    <w:rsid w:val="6196670E"/>
    <w:rsid w:val="61972737"/>
    <w:rsid w:val="619C38B4"/>
    <w:rsid w:val="61A1764F"/>
    <w:rsid w:val="61A4486B"/>
    <w:rsid w:val="61A54A7C"/>
    <w:rsid w:val="61B10942"/>
    <w:rsid w:val="61B33DDF"/>
    <w:rsid w:val="61B5328A"/>
    <w:rsid w:val="61B95FB7"/>
    <w:rsid w:val="61BB4A1B"/>
    <w:rsid w:val="61BC23E5"/>
    <w:rsid w:val="61CD3107"/>
    <w:rsid w:val="61D21120"/>
    <w:rsid w:val="61D4785D"/>
    <w:rsid w:val="61DE2801"/>
    <w:rsid w:val="61E444C2"/>
    <w:rsid w:val="61E728F9"/>
    <w:rsid w:val="61F3667F"/>
    <w:rsid w:val="61F43F82"/>
    <w:rsid w:val="61FB110C"/>
    <w:rsid w:val="62085BE2"/>
    <w:rsid w:val="620B2B74"/>
    <w:rsid w:val="6210415F"/>
    <w:rsid w:val="62185165"/>
    <w:rsid w:val="621B7362"/>
    <w:rsid w:val="621D66D4"/>
    <w:rsid w:val="621F222C"/>
    <w:rsid w:val="62220209"/>
    <w:rsid w:val="6224013C"/>
    <w:rsid w:val="622E2CF4"/>
    <w:rsid w:val="622F5ABF"/>
    <w:rsid w:val="623513B7"/>
    <w:rsid w:val="623C3F0E"/>
    <w:rsid w:val="623D0C68"/>
    <w:rsid w:val="62407791"/>
    <w:rsid w:val="62460FCD"/>
    <w:rsid w:val="62476369"/>
    <w:rsid w:val="62480FF0"/>
    <w:rsid w:val="624B14C1"/>
    <w:rsid w:val="624F0394"/>
    <w:rsid w:val="625A29D8"/>
    <w:rsid w:val="625B2CDA"/>
    <w:rsid w:val="625B47C2"/>
    <w:rsid w:val="62605527"/>
    <w:rsid w:val="62622606"/>
    <w:rsid w:val="62630C6B"/>
    <w:rsid w:val="626D0C7C"/>
    <w:rsid w:val="627301E8"/>
    <w:rsid w:val="62771C28"/>
    <w:rsid w:val="627C1EF6"/>
    <w:rsid w:val="6295194F"/>
    <w:rsid w:val="6299295E"/>
    <w:rsid w:val="629A07BC"/>
    <w:rsid w:val="629A3547"/>
    <w:rsid w:val="629D1DB7"/>
    <w:rsid w:val="62A33CA7"/>
    <w:rsid w:val="62A87215"/>
    <w:rsid w:val="62B94634"/>
    <w:rsid w:val="62BA3B2B"/>
    <w:rsid w:val="62C37511"/>
    <w:rsid w:val="62C95B2A"/>
    <w:rsid w:val="62D11C3F"/>
    <w:rsid w:val="62D67D61"/>
    <w:rsid w:val="62DA3E7B"/>
    <w:rsid w:val="62E157FC"/>
    <w:rsid w:val="62E81148"/>
    <w:rsid w:val="62E83A0D"/>
    <w:rsid w:val="62F76986"/>
    <w:rsid w:val="62FA3D7F"/>
    <w:rsid w:val="63070D6A"/>
    <w:rsid w:val="63074CE8"/>
    <w:rsid w:val="630967F7"/>
    <w:rsid w:val="631360BB"/>
    <w:rsid w:val="631C3A36"/>
    <w:rsid w:val="63212420"/>
    <w:rsid w:val="632936A9"/>
    <w:rsid w:val="632F06D8"/>
    <w:rsid w:val="63302275"/>
    <w:rsid w:val="63311536"/>
    <w:rsid w:val="63317698"/>
    <w:rsid w:val="63340EAE"/>
    <w:rsid w:val="63430D34"/>
    <w:rsid w:val="63443DC2"/>
    <w:rsid w:val="634B6A95"/>
    <w:rsid w:val="634F6CB9"/>
    <w:rsid w:val="63551D13"/>
    <w:rsid w:val="63581FE8"/>
    <w:rsid w:val="635E6984"/>
    <w:rsid w:val="63615D3E"/>
    <w:rsid w:val="6363037F"/>
    <w:rsid w:val="636466DE"/>
    <w:rsid w:val="6367139B"/>
    <w:rsid w:val="63683422"/>
    <w:rsid w:val="636C62BA"/>
    <w:rsid w:val="637D46AF"/>
    <w:rsid w:val="63821D61"/>
    <w:rsid w:val="63827E36"/>
    <w:rsid w:val="63842477"/>
    <w:rsid w:val="63866716"/>
    <w:rsid w:val="638823F9"/>
    <w:rsid w:val="638B04D2"/>
    <w:rsid w:val="639429EF"/>
    <w:rsid w:val="639A118D"/>
    <w:rsid w:val="639A57E4"/>
    <w:rsid w:val="63A72471"/>
    <w:rsid w:val="63A85CD1"/>
    <w:rsid w:val="63AB2A39"/>
    <w:rsid w:val="63AF02B0"/>
    <w:rsid w:val="63B02C42"/>
    <w:rsid w:val="63C22671"/>
    <w:rsid w:val="63C51AD9"/>
    <w:rsid w:val="63C54411"/>
    <w:rsid w:val="63C733FE"/>
    <w:rsid w:val="63CD27C8"/>
    <w:rsid w:val="63CD4C2D"/>
    <w:rsid w:val="63CE53D7"/>
    <w:rsid w:val="63CF2629"/>
    <w:rsid w:val="63D40E51"/>
    <w:rsid w:val="63D85FCA"/>
    <w:rsid w:val="63E1232C"/>
    <w:rsid w:val="63E263F4"/>
    <w:rsid w:val="63E418C9"/>
    <w:rsid w:val="63E63E65"/>
    <w:rsid w:val="63FB6EC6"/>
    <w:rsid w:val="63FD7654"/>
    <w:rsid w:val="640B6911"/>
    <w:rsid w:val="640C2BB6"/>
    <w:rsid w:val="640D3C4B"/>
    <w:rsid w:val="6411454E"/>
    <w:rsid w:val="641D193A"/>
    <w:rsid w:val="643F3FFC"/>
    <w:rsid w:val="64490CCF"/>
    <w:rsid w:val="644A69BC"/>
    <w:rsid w:val="644B0F33"/>
    <w:rsid w:val="645B5DC0"/>
    <w:rsid w:val="645D3A6B"/>
    <w:rsid w:val="64607611"/>
    <w:rsid w:val="646A06E2"/>
    <w:rsid w:val="646C4EF1"/>
    <w:rsid w:val="646C4FB8"/>
    <w:rsid w:val="64706C6F"/>
    <w:rsid w:val="6471159B"/>
    <w:rsid w:val="64730445"/>
    <w:rsid w:val="64814078"/>
    <w:rsid w:val="648A2920"/>
    <w:rsid w:val="648B777B"/>
    <w:rsid w:val="648E727F"/>
    <w:rsid w:val="64914C4B"/>
    <w:rsid w:val="6493509C"/>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0A4917"/>
    <w:rsid w:val="650D795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81A12"/>
    <w:rsid w:val="655E2D72"/>
    <w:rsid w:val="656171FC"/>
    <w:rsid w:val="65620FCD"/>
    <w:rsid w:val="65635CAF"/>
    <w:rsid w:val="65636611"/>
    <w:rsid w:val="656F1A01"/>
    <w:rsid w:val="6570700F"/>
    <w:rsid w:val="657F0CE6"/>
    <w:rsid w:val="65833C4F"/>
    <w:rsid w:val="658B37B6"/>
    <w:rsid w:val="6590595E"/>
    <w:rsid w:val="6596731D"/>
    <w:rsid w:val="65972789"/>
    <w:rsid w:val="659737CA"/>
    <w:rsid w:val="659B7DA2"/>
    <w:rsid w:val="659C17EE"/>
    <w:rsid w:val="65A03614"/>
    <w:rsid w:val="65A04E31"/>
    <w:rsid w:val="65A65E7D"/>
    <w:rsid w:val="65BC6E17"/>
    <w:rsid w:val="65BD3777"/>
    <w:rsid w:val="65BE5ECC"/>
    <w:rsid w:val="65D64BB3"/>
    <w:rsid w:val="65D70270"/>
    <w:rsid w:val="65DF7CC8"/>
    <w:rsid w:val="65E777CF"/>
    <w:rsid w:val="65E91B08"/>
    <w:rsid w:val="65F5725F"/>
    <w:rsid w:val="66032E7B"/>
    <w:rsid w:val="66053581"/>
    <w:rsid w:val="660A19B0"/>
    <w:rsid w:val="660F5EB0"/>
    <w:rsid w:val="661026AA"/>
    <w:rsid w:val="661635F6"/>
    <w:rsid w:val="661D3F49"/>
    <w:rsid w:val="66213A5C"/>
    <w:rsid w:val="6624683A"/>
    <w:rsid w:val="66291892"/>
    <w:rsid w:val="662D2EA4"/>
    <w:rsid w:val="6631571B"/>
    <w:rsid w:val="663D054E"/>
    <w:rsid w:val="66460692"/>
    <w:rsid w:val="664935C1"/>
    <w:rsid w:val="664B76B2"/>
    <w:rsid w:val="6658158E"/>
    <w:rsid w:val="665F6889"/>
    <w:rsid w:val="66631FDD"/>
    <w:rsid w:val="6671460B"/>
    <w:rsid w:val="66727620"/>
    <w:rsid w:val="66763EED"/>
    <w:rsid w:val="667930F9"/>
    <w:rsid w:val="6679372B"/>
    <w:rsid w:val="667B3C56"/>
    <w:rsid w:val="669448CF"/>
    <w:rsid w:val="66953491"/>
    <w:rsid w:val="66964763"/>
    <w:rsid w:val="66980BF6"/>
    <w:rsid w:val="669E0B1B"/>
    <w:rsid w:val="66A2056C"/>
    <w:rsid w:val="66A56CDB"/>
    <w:rsid w:val="66A710B2"/>
    <w:rsid w:val="66AD65FC"/>
    <w:rsid w:val="66B81454"/>
    <w:rsid w:val="66BE1292"/>
    <w:rsid w:val="66BF76F1"/>
    <w:rsid w:val="66CC29BC"/>
    <w:rsid w:val="66D553C4"/>
    <w:rsid w:val="66D61A8D"/>
    <w:rsid w:val="66DA0E28"/>
    <w:rsid w:val="66DA3497"/>
    <w:rsid w:val="66DC5BF8"/>
    <w:rsid w:val="66E13913"/>
    <w:rsid w:val="66E173F9"/>
    <w:rsid w:val="66E3226C"/>
    <w:rsid w:val="66E611A7"/>
    <w:rsid w:val="66E80EB0"/>
    <w:rsid w:val="66EC5E36"/>
    <w:rsid w:val="66F569E1"/>
    <w:rsid w:val="66F76034"/>
    <w:rsid w:val="66F949B1"/>
    <w:rsid w:val="670005CE"/>
    <w:rsid w:val="67010EBC"/>
    <w:rsid w:val="67066C06"/>
    <w:rsid w:val="670A207E"/>
    <w:rsid w:val="670E7B80"/>
    <w:rsid w:val="671112F0"/>
    <w:rsid w:val="6713591F"/>
    <w:rsid w:val="67181932"/>
    <w:rsid w:val="6726232E"/>
    <w:rsid w:val="672A4901"/>
    <w:rsid w:val="672D6F57"/>
    <w:rsid w:val="67331724"/>
    <w:rsid w:val="673360E2"/>
    <w:rsid w:val="67346319"/>
    <w:rsid w:val="673575D6"/>
    <w:rsid w:val="67441B08"/>
    <w:rsid w:val="674E2802"/>
    <w:rsid w:val="674F6E76"/>
    <w:rsid w:val="67513E69"/>
    <w:rsid w:val="67594882"/>
    <w:rsid w:val="675A17FE"/>
    <w:rsid w:val="67617AF0"/>
    <w:rsid w:val="6768655A"/>
    <w:rsid w:val="676E1585"/>
    <w:rsid w:val="67775952"/>
    <w:rsid w:val="67776272"/>
    <w:rsid w:val="67784D8B"/>
    <w:rsid w:val="677C0BC4"/>
    <w:rsid w:val="677E2FA1"/>
    <w:rsid w:val="67834615"/>
    <w:rsid w:val="67836FB1"/>
    <w:rsid w:val="678A12A7"/>
    <w:rsid w:val="678A44B2"/>
    <w:rsid w:val="678C1D52"/>
    <w:rsid w:val="678C47AC"/>
    <w:rsid w:val="678D19D7"/>
    <w:rsid w:val="67973403"/>
    <w:rsid w:val="67A50F82"/>
    <w:rsid w:val="67A67078"/>
    <w:rsid w:val="67AC341B"/>
    <w:rsid w:val="67AF227D"/>
    <w:rsid w:val="67B10069"/>
    <w:rsid w:val="67B17BF8"/>
    <w:rsid w:val="67B42C3D"/>
    <w:rsid w:val="67B861F9"/>
    <w:rsid w:val="67C149C0"/>
    <w:rsid w:val="67C531BB"/>
    <w:rsid w:val="67C7427D"/>
    <w:rsid w:val="67CA7967"/>
    <w:rsid w:val="67CC38C5"/>
    <w:rsid w:val="67CD4B1F"/>
    <w:rsid w:val="67D9695E"/>
    <w:rsid w:val="67DC5CEA"/>
    <w:rsid w:val="67DF18A0"/>
    <w:rsid w:val="67E024C8"/>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72A56"/>
    <w:rsid w:val="687E1768"/>
    <w:rsid w:val="688023F5"/>
    <w:rsid w:val="68900DFC"/>
    <w:rsid w:val="689201D6"/>
    <w:rsid w:val="689B3E14"/>
    <w:rsid w:val="689C5C1D"/>
    <w:rsid w:val="689C6DC7"/>
    <w:rsid w:val="689D6F4C"/>
    <w:rsid w:val="689E687C"/>
    <w:rsid w:val="689F2FA0"/>
    <w:rsid w:val="68A02CE9"/>
    <w:rsid w:val="68A036C8"/>
    <w:rsid w:val="68A41350"/>
    <w:rsid w:val="68AA1B24"/>
    <w:rsid w:val="68AB599B"/>
    <w:rsid w:val="68AD26AA"/>
    <w:rsid w:val="68AE2B22"/>
    <w:rsid w:val="68BC14B0"/>
    <w:rsid w:val="68BC512A"/>
    <w:rsid w:val="68BE2D2E"/>
    <w:rsid w:val="68BF0078"/>
    <w:rsid w:val="68C00AA7"/>
    <w:rsid w:val="68C1272F"/>
    <w:rsid w:val="68C20D16"/>
    <w:rsid w:val="68CE0D30"/>
    <w:rsid w:val="68CF1BBD"/>
    <w:rsid w:val="68D85F33"/>
    <w:rsid w:val="68DA0308"/>
    <w:rsid w:val="68DD619B"/>
    <w:rsid w:val="68E06ECC"/>
    <w:rsid w:val="68E91847"/>
    <w:rsid w:val="68E955A3"/>
    <w:rsid w:val="68EC3A15"/>
    <w:rsid w:val="68ED69A7"/>
    <w:rsid w:val="68F25678"/>
    <w:rsid w:val="68FB0311"/>
    <w:rsid w:val="68FD2847"/>
    <w:rsid w:val="68FD5593"/>
    <w:rsid w:val="69073414"/>
    <w:rsid w:val="690C4501"/>
    <w:rsid w:val="6911326A"/>
    <w:rsid w:val="69183F42"/>
    <w:rsid w:val="691A2AF1"/>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7F3BC8"/>
    <w:rsid w:val="69807B1E"/>
    <w:rsid w:val="69810B48"/>
    <w:rsid w:val="6987642A"/>
    <w:rsid w:val="699B1497"/>
    <w:rsid w:val="69A36988"/>
    <w:rsid w:val="69A71B52"/>
    <w:rsid w:val="69A7770D"/>
    <w:rsid w:val="69A966F8"/>
    <w:rsid w:val="69AC0B64"/>
    <w:rsid w:val="69B27491"/>
    <w:rsid w:val="69B27C94"/>
    <w:rsid w:val="69BA2288"/>
    <w:rsid w:val="69BB7CE2"/>
    <w:rsid w:val="69C17095"/>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063E4F"/>
    <w:rsid w:val="6A0831DF"/>
    <w:rsid w:val="6A12415B"/>
    <w:rsid w:val="6A152CC8"/>
    <w:rsid w:val="6A172663"/>
    <w:rsid w:val="6A1D05D4"/>
    <w:rsid w:val="6A245089"/>
    <w:rsid w:val="6A25601C"/>
    <w:rsid w:val="6A2750C5"/>
    <w:rsid w:val="6A290AA5"/>
    <w:rsid w:val="6A2A46CE"/>
    <w:rsid w:val="6A2F521E"/>
    <w:rsid w:val="6A3A1167"/>
    <w:rsid w:val="6A3D030C"/>
    <w:rsid w:val="6A3F4FDB"/>
    <w:rsid w:val="6A402343"/>
    <w:rsid w:val="6A4D34F8"/>
    <w:rsid w:val="6A5327CD"/>
    <w:rsid w:val="6A532FF6"/>
    <w:rsid w:val="6A601C8F"/>
    <w:rsid w:val="6A693FAC"/>
    <w:rsid w:val="6A7174A5"/>
    <w:rsid w:val="6A72508F"/>
    <w:rsid w:val="6A732254"/>
    <w:rsid w:val="6A771E7B"/>
    <w:rsid w:val="6A774894"/>
    <w:rsid w:val="6A794675"/>
    <w:rsid w:val="6A7C42FE"/>
    <w:rsid w:val="6A80364F"/>
    <w:rsid w:val="6A8522FE"/>
    <w:rsid w:val="6A855D52"/>
    <w:rsid w:val="6A883CF9"/>
    <w:rsid w:val="6A8941E8"/>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4794D"/>
    <w:rsid w:val="6AED013C"/>
    <w:rsid w:val="6AEE59AB"/>
    <w:rsid w:val="6AF159FF"/>
    <w:rsid w:val="6AF55D4D"/>
    <w:rsid w:val="6AF57F3A"/>
    <w:rsid w:val="6AF63F29"/>
    <w:rsid w:val="6AFA0EDC"/>
    <w:rsid w:val="6AFB7DF3"/>
    <w:rsid w:val="6AFE4F30"/>
    <w:rsid w:val="6AFF77C1"/>
    <w:rsid w:val="6B060BCD"/>
    <w:rsid w:val="6B0E002C"/>
    <w:rsid w:val="6B0F4BEA"/>
    <w:rsid w:val="6B21318E"/>
    <w:rsid w:val="6B2224F7"/>
    <w:rsid w:val="6B263055"/>
    <w:rsid w:val="6B27417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5370D"/>
    <w:rsid w:val="6B7838FB"/>
    <w:rsid w:val="6B785D05"/>
    <w:rsid w:val="6B7C1DB9"/>
    <w:rsid w:val="6B7F7BD7"/>
    <w:rsid w:val="6B8415E0"/>
    <w:rsid w:val="6B846AF2"/>
    <w:rsid w:val="6B8C3EF4"/>
    <w:rsid w:val="6B9521B7"/>
    <w:rsid w:val="6B95396B"/>
    <w:rsid w:val="6BA11DFD"/>
    <w:rsid w:val="6BA32D1F"/>
    <w:rsid w:val="6BAC0EF7"/>
    <w:rsid w:val="6BBB00B1"/>
    <w:rsid w:val="6BBD3E9D"/>
    <w:rsid w:val="6BBD693C"/>
    <w:rsid w:val="6BC03721"/>
    <w:rsid w:val="6BC51A97"/>
    <w:rsid w:val="6BCC01D5"/>
    <w:rsid w:val="6BCD4A5E"/>
    <w:rsid w:val="6BCF2DCA"/>
    <w:rsid w:val="6BDD0493"/>
    <w:rsid w:val="6BDE54AC"/>
    <w:rsid w:val="6BE068F6"/>
    <w:rsid w:val="6BE072B5"/>
    <w:rsid w:val="6BEC52EB"/>
    <w:rsid w:val="6BED340D"/>
    <w:rsid w:val="6BF229CE"/>
    <w:rsid w:val="6BF25C39"/>
    <w:rsid w:val="6C06150E"/>
    <w:rsid w:val="6C155F31"/>
    <w:rsid w:val="6C206E21"/>
    <w:rsid w:val="6C263A06"/>
    <w:rsid w:val="6C3A03E2"/>
    <w:rsid w:val="6C3A624E"/>
    <w:rsid w:val="6C3F4795"/>
    <w:rsid w:val="6C431738"/>
    <w:rsid w:val="6C431978"/>
    <w:rsid w:val="6C505966"/>
    <w:rsid w:val="6C5D04BB"/>
    <w:rsid w:val="6C605FA1"/>
    <w:rsid w:val="6C63260F"/>
    <w:rsid w:val="6C666C3C"/>
    <w:rsid w:val="6C6833E1"/>
    <w:rsid w:val="6C6F297F"/>
    <w:rsid w:val="6C762AC0"/>
    <w:rsid w:val="6C780B2E"/>
    <w:rsid w:val="6C860AB9"/>
    <w:rsid w:val="6C8E4315"/>
    <w:rsid w:val="6C95615F"/>
    <w:rsid w:val="6CA94419"/>
    <w:rsid w:val="6CAA34B4"/>
    <w:rsid w:val="6CB242A2"/>
    <w:rsid w:val="6CC818AD"/>
    <w:rsid w:val="6CC95EE7"/>
    <w:rsid w:val="6CD31AB0"/>
    <w:rsid w:val="6CE0612A"/>
    <w:rsid w:val="6CE269D3"/>
    <w:rsid w:val="6CE870E2"/>
    <w:rsid w:val="6CEC448A"/>
    <w:rsid w:val="6CED284E"/>
    <w:rsid w:val="6CF04EB7"/>
    <w:rsid w:val="6CF17872"/>
    <w:rsid w:val="6CF36FB0"/>
    <w:rsid w:val="6CF76712"/>
    <w:rsid w:val="6CFD23D1"/>
    <w:rsid w:val="6D033EFD"/>
    <w:rsid w:val="6D0652BF"/>
    <w:rsid w:val="6D086575"/>
    <w:rsid w:val="6D0A7734"/>
    <w:rsid w:val="6D0B0E35"/>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72471"/>
    <w:rsid w:val="6D7D5646"/>
    <w:rsid w:val="6D816186"/>
    <w:rsid w:val="6D90338E"/>
    <w:rsid w:val="6D925352"/>
    <w:rsid w:val="6D925740"/>
    <w:rsid w:val="6D9C13FE"/>
    <w:rsid w:val="6D9D3EE4"/>
    <w:rsid w:val="6D9E7C69"/>
    <w:rsid w:val="6DA71839"/>
    <w:rsid w:val="6DA84071"/>
    <w:rsid w:val="6DAA5346"/>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597574"/>
    <w:rsid w:val="6E633CB5"/>
    <w:rsid w:val="6E6E4A6C"/>
    <w:rsid w:val="6E7106EF"/>
    <w:rsid w:val="6E72570E"/>
    <w:rsid w:val="6E7521A5"/>
    <w:rsid w:val="6E785A45"/>
    <w:rsid w:val="6E796FC0"/>
    <w:rsid w:val="6E810208"/>
    <w:rsid w:val="6E917497"/>
    <w:rsid w:val="6EA13305"/>
    <w:rsid w:val="6EAB29FB"/>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EF86F54"/>
    <w:rsid w:val="6F015E86"/>
    <w:rsid w:val="6F021829"/>
    <w:rsid w:val="6F08724A"/>
    <w:rsid w:val="6F14289F"/>
    <w:rsid w:val="6F162C84"/>
    <w:rsid w:val="6F1864F4"/>
    <w:rsid w:val="6F1A5125"/>
    <w:rsid w:val="6F28474F"/>
    <w:rsid w:val="6F304FF0"/>
    <w:rsid w:val="6F350882"/>
    <w:rsid w:val="6F35635E"/>
    <w:rsid w:val="6F3713E9"/>
    <w:rsid w:val="6F384951"/>
    <w:rsid w:val="6F4876AF"/>
    <w:rsid w:val="6F537FC0"/>
    <w:rsid w:val="6F5831A4"/>
    <w:rsid w:val="6F607895"/>
    <w:rsid w:val="6F61040C"/>
    <w:rsid w:val="6F67425D"/>
    <w:rsid w:val="6F6776E1"/>
    <w:rsid w:val="6F6E78EC"/>
    <w:rsid w:val="6F6F1DC2"/>
    <w:rsid w:val="6F702CF5"/>
    <w:rsid w:val="6F7A0C79"/>
    <w:rsid w:val="6F7E1B78"/>
    <w:rsid w:val="6F823859"/>
    <w:rsid w:val="6F864D62"/>
    <w:rsid w:val="6F952166"/>
    <w:rsid w:val="6F9C5D71"/>
    <w:rsid w:val="6FA1712C"/>
    <w:rsid w:val="6FA3781E"/>
    <w:rsid w:val="6FAC61CF"/>
    <w:rsid w:val="6FAF5C06"/>
    <w:rsid w:val="6FB32C37"/>
    <w:rsid w:val="6FB415FB"/>
    <w:rsid w:val="6FB80EE8"/>
    <w:rsid w:val="6FC0781E"/>
    <w:rsid w:val="6FC47221"/>
    <w:rsid w:val="6FD36624"/>
    <w:rsid w:val="6FDE5160"/>
    <w:rsid w:val="6FE53444"/>
    <w:rsid w:val="6FE76FE3"/>
    <w:rsid w:val="6FEA17C6"/>
    <w:rsid w:val="6FF1528E"/>
    <w:rsid w:val="6FF561D1"/>
    <w:rsid w:val="700964CD"/>
    <w:rsid w:val="700C0460"/>
    <w:rsid w:val="70137F62"/>
    <w:rsid w:val="701458A7"/>
    <w:rsid w:val="70152C7C"/>
    <w:rsid w:val="70153A85"/>
    <w:rsid w:val="70170F2B"/>
    <w:rsid w:val="701830B7"/>
    <w:rsid w:val="701E2FAB"/>
    <w:rsid w:val="70206C25"/>
    <w:rsid w:val="702267D2"/>
    <w:rsid w:val="702F4E57"/>
    <w:rsid w:val="70346ECB"/>
    <w:rsid w:val="70370653"/>
    <w:rsid w:val="70385F59"/>
    <w:rsid w:val="70387A8F"/>
    <w:rsid w:val="703D5EC4"/>
    <w:rsid w:val="7040584F"/>
    <w:rsid w:val="70494AF1"/>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232BA"/>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6E7E5A"/>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C061A0"/>
    <w:rsid w:val="71C2301C"/>
    <w:rsid w:val="71C45E90"/>
    <w:rsid w:val="71C757DE"/>
    <w:rsid w:val="71C96C07"/>
    <w:rsid w:val="71CD28DD"/>
    <w:rsid w:val="71D00811"/>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75066"/>
    <w:rsid w:val="722C19CF"/>
    <w:rsid w:val="722C5D63"/>
    <w:rsid w:val="722E7DFE"/>
    <w:rsid w:val="722F4695"/>
    <w:rsid w:val="723749D7"/>
    <w:rsid w:val="724154F6"/>
    <w:rsid w:val="72445BD3"/>
    <w:rsid w:val="724E54F1"/>
    <w:rsid w:val="725226C3"/>
    <w:rsid w:val="7254202A"/>
    <w:rsid w:val="725C0E9D"/>
    <w:rsid w:val="725E504A"/>
    <w:rsid w:val="72626EBF"/>
    <w:rsid w:val="72632A3F"/>
    <w:rsid w:val="727334E4"/>
    <w:rsid w:val="72756082"/>
    <w:rsid w:val="72772DDB"/>
    <w:rsid w:val="727B2E39"/>
    <w:rsid w:val="72827328"/>
    <w:rsid w:val="72852CCF"/>
    <w:rsid w:val="728752D8"/>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71B20"/>
    <w:rsid w:val="731800D8"/>
    <w:rsid w:val="731C28E7"/>
    <w:rsid w:val="73214B7F"/>
    <w:rsid w:val="73247EDB"/>
    <w:rsid w:val="7325076C"/>
    <w:rsid w:val="7326097A"/>
    <w:rsid w:val="732A4A9B"/>
    <w:rsid w:val="733202B6"/>
    <w:rsid w:val="73343997"/>
    <w:rsid w:val="7335544E"/>
    <w:rsid w:val="73370B0A"/>
    <w:rsid w:val="733C723A"/>
    <w:rsid w:val="733C7C6A"/>
    <w:rsid w:val="73442B5E"/>
    <w:rsid w:val="73494C80"/>
    <w:rsid w:val="73510529"/>
    <w:rsid w:val="73525FC7"/>
    <w:rsid w:val="73572A00"/>
    <w:rsid w:val="73574996"/>
    <w:rsid w:val="735C705A"/>
    <w:rsid w:val="736411CC"/>
    <w:rsid w:val="73690216"/>
    <w:rsid w:val="736A02D8"/>
    <w:rsid w:val="736C1945"/>
    <w:rsid w:val="73757561"/>
    <w:rsid w:val="737B5AC7"/>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02510"/>
    <w:rsid w:val="73EC7C9D"/>
    <w:rsid w:val="73EE32A0"/>
    <w:rsid w:val="73EE6F0E"/>
    <w:rsid w:val="73F5257C"/>
    <w:rsid w:val="73F67B1C"/>
    <w:rsid w:val="73FF2CB2"/>
    <w:rsid w:val="740418BB"/>
    <w:rsid w:val="7407051F"/>
    <w:rsid w:val="740E71A7"/>
    <w:rsid w:val="741076D1"/>
    <w:rsid w:val="74115578"/>
    <w:rsid w:val="7411674C"/>
    <w:rsid w:val="74141C1A"/>
    <w:rsid w:val="74215D04"/>
    <w:rsid w:val="74240C28"/>
    <w:rsid w:val="74257C35"/>
    <w:rsid w:val="742A0965"/>
    <w:rsid w:val="742D019C"/>
    <w:rsid w:val="742D6DB6"/>
    <w:rsid w:val="742E74D7"/>
    <w:rsid w:val="7438408F"/>
    <w:rsid w:val="744642D9"/>
    <w:rsid w:val="74522D94"/>
    <w:rsid w:val="74574697"/>
    <w:rsid w:val="746A2DAC"/>
    <w:rsid w:val="746B086B"/>
    <w:rsid w:val="746C430C"/>
    <w:rsid w:val="74775754"/>
    <w:rsid w:val="7478014B"/>
    <w:rsid w:val="74781229"/>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128D0"/>
    <w:rsid w:val="74F23F4E"/>
    <w:rsid w:val="74FB509B"/>
    <w:rsid w:val="74FB6035"/>
    <w:rsid w:val="7502618E"/>
    <w:rsid w:val="75037EF1"/>
    <w:rsid w:val="750934A8"/>
    <w:rsid w:val="750A15E4"/>
    <w:rsid w:val="750C76FA"/>
    <w:rsid w:val="751B36A6"/>
    <w:rsid w:val="752B3381"/>
    <w:rsid w:val="752E435C"/>
    <w:rsid w:val="75325694"/>
    <w:rsid w:val="75341F60"/>
    <w:rsid w:val="75376E15"/>
    <w:rsid w:val="753A2461"/>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87A76"/>
    <w:rsid w:val="759A5F22"/>
    <w:rsid w:val="759B02AD"/>
    <w:rsid w:val="759B0C43"/>
    <w:rsid w:val="759B5CAF"/>
    <w:rsid w:val="75A004C6"/>
    <w:rsid w:val="75A53BC6"/>
    <w:rsid w:val="75A62673"/>
    <w:rsid w:val="75C123A7"/>
    <w:rsid w:val="75C1550C"/>
    <w:rsid w:val="75CC74C8"/>
    <w:rsid w:val="75CD2584"/>
    <w:rsid w:val="75D03721"/>
    <w:rsid w:val="75D04552"/>
    <w:rsid w:val="75D1230F"/>
    <w:rsid w:val="75D357A7"/>
    <w:rsid w:val="75DB08A6"/>
    <w:rsid w:val="75E2330A"/>
    <w:rsid w:val="75E7499A"/>
    <w:rsid w:val="75EA37FE"/>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667E5"/>
    <w:rsid w:val="762D1CB1"/>
    <w:rsid w:val="762D70E7"/>
    <w:rsid w:val="7630359D"/>
    <w:rsid w:val="763B42FB"/>
    <w:rsid w:val="763D4BE9"/>
    <w:rsid w:val="763F1F92"/>
    <w:rsid w:val="76424474"/>
    <w:rsid w:val="76437632"/>
    <w:rsid w:val="76451CD6"/>
    <w:rsid w:val="76452780"/>
    <w:rsid w:val="76461B9C"/>
    <w:rsid w:val="7646494A"/>
    <w:rsid w:val="764F7670"/>
    <w:rsid w:val="76526C65"/>
    <w:rsid w:val="76587361"/>
    <w:rsid w:val="765F0FBA"/>
    <w:rsid w:val="766314AA"/>
    <w:rsid w:val="766346A3"/>
    <w:rsid w:val="76674D6A"/>
    <w:rsid w:val="76690632"/>
    <w:rsid w:val="7670223C"/>
    <w:rsid w:val="767469E2"/>
    <w:rsid w:val="7674756A"/>
    <w:rsid w:val="76775F0B"/>
    <w:rsid w:val="767E2DAC"/>
    <w:rsid w:val="7686024F"/>
    <w:rsid w:val="7686528C"/>
    <w:rsid w:val="76894819"/>
    <w:rsid w:val="768C4C45"/>
    <w:rsid w:val="768C5E2D"/>
    <w:rsid w:val="768D57E3"/>
    <w:rsid w:val="768F2978"/>
    <w:rsid w:val="76932317"/>
    <w:rsid w:val="76932747"/>
    <w:rsid w:val="76954745"/>
    <w:rsid w:val="76A53B61"/>
    <w:rsid w:val="76A56898"/>
    <w:rsid w:val="76B153BA"/>
    <w:rsid w:val="76BC5B8F"/>
    <w:rsid w:val="76BE7B18"/>
    <w:rsid w:val="76C27D48"/>
    <w:rsid w:val="76C42FCD"/>
    <w:rsid w:val="76C72CA0"/>
    <w:rsid w:val="76CA39A7"/>
    <w:rsid w:val="76E313F6"/>
    <w:rsid w:val="76E97D4B"/>
    <w:rsid w:val="76ED0EF4"/>
    <w:rsid w:val="76F2295F"/>
    <w:rsid w:val="76F50A9F"/>
    <w:rsid w:val="76FD2D1D"/>
    <w:rsid w:val="76FE7B3F"/>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76475"/>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E02232"/>
    <w:rsid w:val="77E47703"/>
    <w:rsid w:val="77E568E3"/>
    <w:rsid w:val="77EE19D2"/>
    <w:rsid w:val="77F62779"/>
    <w:rsid w:val="780137B3"/>
    <w:rsid w:val="78036043"/>
    <w:rsid w:val="780851B0"/>
    <w:rsid w:val="780F04C0"/>
    <w:rsid w:val="7813374F"/>
    <w:rsid w:val="781838FF"/>
    <w:rsid w:val="781B3886"/>
    <w:rsid w:val="782D5686"/>
    <w:rsid w:val="78306028"/>
    <w:rsid w:val="78316382"/>
    <w:rsid w:val="78326DE7"/>
    <w:rsid w:val="78355626"/>
    <w:rsid w:val="78375EBD"/>
    <w:rsid w:val="783C25B8"/>
    <w:rsid w:val="783D4821"/>
    <w:rsid w:val="784151EC"/>
    <w:rsid w:val="784563AF"/>
    <w:rsid w:val="7849196F"/>
    <w:rsid w:val="78516E21"/>
    <w:rsid w:val="78591903"/>
    <w:rsid w:val="78687C7F"/>
    <w:rsid w:val="78746203"/>
    <w:rsid w:val="787659AD"/>
    <w:rsid w:val="787C39B9"/>
    <w:rsid w:val="78864776"/>
    <w:rsid w:val="7888219B"/>
    <w:rsid w:val="78887070"/>
    <w:rsid w:val="788908C8"/>
    <w:rsid w:val="7889395E"/>
    <w:rsid w:val="78993306"/>
    <w:rsid w:val="789B52DE"/>
    <w:rsid w:val="78A561F3"/>
    <w:rsid w:val="78AB3452"/>
    <w:rsid w:val="78B0117B"/>
    <w:rsid w:val="78B478AA"/>
    <w:rsid w:val="78B91C9F"/>
    <w:rsid w:val="78BC539D"/>
    <w:rsid w:val="78C134B0"/>
    <w:rsid w:val="78C30ABF"/>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0FB"/>
    <w:rsid w:val="7971290E"/>
    <w:rsid w:val="79762768"/>
    <w:rsid w:val="797951A9"/>
    <w:rsid w:val="797B6752"/>
    <w:rsid w:val="798928E4"/>
    <w:rsid w:val="7990174F"/>
    <w:rsid w:val="79940D57"/>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D2BEC"/>
    <w:rsid w:val="7A0F1525"/>
    <w:rsid w:val="7A157806"/>
    <w:rsid w:val="7A1631C9"/>
    <w:rsid w:val="7A193FDB"/>
    <w:rsid w:val="7A262C2D"/>
    <w:rsid w:val="7A291938"/>
    <w:rsid w:val="7A3D1CB3"/>
    <w:rsid w:val="7A3D7CC0"/>
    <w:rsid w:val="7A4006D3"/>
    <w:rsid w:val="7A4D07BA"/>
    <w:rsid w:val="7A5863D3"/>
    <w:rsid w:val="7A5C5FAF"/>
    <w:rsid w:val="7A634604"/>
    <w:rsid w:val="7A64499E"/>
    <w:rsid w:val="7A6656B6"/>
    <w:rsid w:val="7A6E7E8F"/>
    <w:rsid w:val="7A723F72"/>
    <w:rsid w:val="7A743D9C"/>
    <w:rsid w:val="7A7C7F4E"/>
    <w:rsid w:val="7A7D4128"/>
    <w:rsid w:val="7A820760"/>
    <w:rsid w:val="7A87742E"/>
    <w:rsid w:val="7A9123B7"/>
    <w:rsid w:val="7A936681"/>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239FB"/>
    <w:rsid w:val="7AE55787"/>
    <w:rsid w:val="7AF85C04"/>
    <w:rsid w:val="7AF91DAF"/>
    <w:rsid w:val="7AF9607E"/>
    <w:rsid w:val="7B18546A"/>
    <w:rsid w:val="7B1B467F"/>
    <w:rsid w:val="7B1F59AA"/>
    <w:rsid w:val="7B201F77"/>
    <w:rsid w:val="7B214978"/>
    <w:rsid w:val="7B391012"/>
    <w:rsid w:val="7B3B516D"/>
    <w:rsid w:val="7B441B98"/>
    <w:rsid w:val="7B457ABF"/>
    <w:rsid w:val="7B4A5781"/>
    <w:rsid w:val="7B4D3DBC"/>
    <w:rsid w:val="7B4E09BF"/>
    <w:rsid w:val="7B513493"/>
    <w:rsid w:val="7B5B2666"/>
    <w:rsid w:val="7B603C7C"/>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203BD"/>
    <w:rsid w:val="7C2D1C60"/>
    <w:rsid w:val="7C3832F5"/>
    <w:rsid w:val="7C3D6253"/>
    <w:rsid w:val="7C42281E"/>
    <w:rsid w:val="7C425FBC"/>
    <w:rsid w:val="7C4F167F"/>
    <w:rsid w:val="7C577488"/>
    <w:rsid w:val="7C610C91"/>
    <w:rsid w:val="7C613AEC"/>
    <w:rsid w:val="7C642518"/>
    <w:rsid w:val="7C693406"/>
    <w:rsid w:val="7C6E7E2C"/>
    <w:rsid w:val="7C734075"/>
    <w:rsid w:val="7C773CA6"/>
    <w:rsid w:val="7C815D2A"/>
    <w:rsid w:val="7C830C8C"/>
    <w:rsid w:val="7C831756"/>
    <w:rsid w:val="7C8C4CAB"/>
    <w:rsid w:val="7C8D11D9"/>
    <w:rsid w:val="7C982736"/>
    <w:rsid w:val="7C9A2FA3"/>
    <w:rsid w:val="7C9E5A24"/>
    <w:rsid w:val="7CA056ED"/>
    <w:rsid w:val="7CA3583F"/>
    <w:rsid w:val="7CA67728"/>
    <w:rsid w:val="7CB62523"/>
    <w:rsid w:val="7CCA5583"/>
    <w:rsid w:val="7CD22E34"/>
    <w:rsid w:val="7CD33F65"/>
    <w:rsid w:val="7CD51FA2"/>
    <w:rsid w:val="7CD538C0"/>
    <w:rsid w:val="7CD72F9B"/>
    <w:rsid w:val="7CE146B6"/>
    <w:rsid w:val="7CE65C11"/>
    <w:rsid w:val="7CE70935"/>
    <w:rsid w:val="7CEB26F0"/>
    <w:rsid w:val="7CF84A31"/>
    <w:rsid w:val="7CF9049C"/>
    <w:rsid w:val="7CFC44C2"/>
    <w:rsid w:val="7D013B39"/>
    <w:rsid w:val="7D060FAD"/>
    <w:rsid w:val="7D066004"/>
    <w:rsid w:val="7D0826CA"/>
    <w:rsid w:val="7D0D06E5"/>
    <w:rsid w:val="7D130509"/>
    <w:rsid w:val="7D1676EA"/>
    <w:rsid w:val="7D1946C0"/>
    <w:rsid w:val="7D1B351E"/>
    <w:rsid w:val="7D1D7FE9"/>
    <w:rsid w:val="7D1F2572"/>
    <w:rsid w:val="7D283C19"/>
    <w:rsid w:val="7D292A41"/>
    <w:rsid w:val="7D2A5CCB"/>
    <w:rsid w:val="7D363307"/>
    <w:rsid w:val="7D385E82"/>
    <w:rsid w:val="7D401CAA"/>
    <w:rsid w:val="7D464CE9"/>
    <w:rsid w:val="7D4E195B"/>
    <w:rsid w:val="7D515EFA"/>
    <w:rsid w:val="7D5B542F"/>
    <w:rsid w:val="7D635C6D"/>
    <w:rsid w:val="7D64087E"/>
    <w:rsid w:val="7D69117D"/>
    <w:rsid w:val="7D6944E2"/>
    <w:rsid w:val="7D696CB2"/>
    <w:rsid w:val="7D7A555A"/>
    <w:rsid w:val="7D7F5298"/>
    <w:rsid w:val="7D8362BA"/>
    <w:rsid w:val="7D8A7D56"/>
    <w:rsid w:val="7D8B7B11"/>
    <w:rsid w:val="7DA5761A"/>
    <w:rsid w:val="7DA843EE"/>
    <w:rsid w:val="7DAB10BD"/>
    <w:rsid w:val="7DBF2E7A"/>
    <w:rsid w:val="7DCB462C"/>
    <w:rsid w:val="7DCC7A63"/>
    <w:rsid w:val="7DD7657D"/>
    <w:rsid w:val="7DDA6C39"/>
    <w:rsid w:val="7DDB61A5"/>
    <w:rsid w:val="7DE15552"/>
    <w:rsid w:val="7DE16744"/>
    <w:rsid w:val="7DE751CE"/>
    <w:rsid w:val="7DEB2C44"/>
    <w:rsid w:val="7DF464FC"/>
    <w:rsid w:val="7DFE63E1"/>
    <w:rsid w:val="7E006A11"/>
    <w:rsid w:val="7E1137DA"/>
    <w:rsid w:val="7E1C55F3"/>
    <w:rsid w:val="7E202566"/>
    <w:rsid w:val="7E222965"/>
    <w:rsid w:val="7E235930"/>
    <w:rsid w:val="7E2E7D3F"/>
    <w:rsid w:val="7E330B2F"/>
    <w:rsid w:val="7E347694"/>
    <w:rsid w:val="7E3B5911"/>
    <w:rsid w:val="7E3F0FF1"/>
    <w:rsid w:val="7E412035"/>
    <w:rsid w:val="7E462C1E"/>
    <w:rsid w:val="7E495416"/>
    <w:rsid w:val="7E497873"/>
    <w:rsid w:val="7E570488"/>
    <w:rsid w:val="7E573082"/>
    <w:rsid w:val="7E593C4C"/>
    <w:rsid w:val="7E665F17"/>
    <w:rsid w:val="7E712F31"/>
    <w:rsid w:val="7E74519D"/>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31C89"/>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B0D93"/>
    <w:rsid w:val="7F0C0396"/>
    <w:rsid w:val="7F0D6BF3"/>
    <w:rsid w:val="7F0F0634"/>
    <w:rsid w:val="7F111CB1"/>
    <w:rsid w:val="7F15618B"/>
    <w:rsid w:val="7F160CCE"/>
    <w:rsid w:val="7F18438A"/>
    <w:rsid w:val="7F1A3CB9"/>
    <w:rsid w:val="7F2372AD"/>
    <w:rsid w:val="7F2618F3"/>
    <w:rsid w:val="7F314300"/>
    <w:rsid w:val="7F35713F"/>
    <w:rsid w:val="7F3A44DE"/>
    <w:rsid w:val="7F3A7611"/>
    <w:rsid w:val="7F3B01C9"/>
    <w:rsid w:val="7F4A17F6"/>
    <w:rsid w:val="7F4C1AE3"/>
    <w:rsid w:val="7F536DE1"/>
    <w:rsid w:val="7F6339F7"/>
    <w:rsid w:val="7F6459E2"/>
    <w:rsid w:val="7F6C5908"/>
    <w:rsid w:val="7F7F40DB"/>
    <w:rsid w:val="7F841074"/>
    <w:rsid w:val="7F8660CD"/>
    <w:rsid w:val="7F8A2E2C"/>
    <w:rsid w:val="7F903896"/>
    <w:rsid w:val="7F963419"/>
    <w:rsid w:val="7FA069EC"/>
    <w:rsid w:val="7FA3336B"/>
    <w:rsid w:val="7FA559DA"/>
    <w:rsid w:val="7FB56B54"/>
    <w:rsid w:val="7FC40702"/>
    <w:rsid w:val="7FCF6C24"/>
    <w:rsid w:val="7FD25613"/>
    <w:rsid w:val="7FD277AE"/>
    <w:rsid w:val="7FD307E8"/>
    <w:rsid w:val="7FD30ECE"/>
    <w:rsid w:val="7FDA2CD0"/>
    <w:rsid w:val="7FDB769F"/>
    <w:rsid w:val="7FDC2AE7"/>
    <w:rsid w:val="7FE3016A"/>
    <w:rsid w:val="7FEC4EDA"/>
    <w:rsid w:val="7FEC7AE0"/>
    <w:rsid w:val="7FEE568F"/>
    <w:rsid w:val="7FF10D9A"/>
    <w:rsid w:val="7FF908EE"/>
    <w:rsid w:val="7FFE419B"/>
    <w:rsid w:val="7FFE6F66"/>
    <w:rsid w:val="7FFF6ED2"/>
    <w:rsid w:val="7F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2023-02-17T11:48:14Z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